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000" w:firstRow="0" w:lastRow="0" w:firstColumn="0" w:lastColumn="0" w:noHBand="0" w:noVBand="0"/>
      </w:tblPr>
      <w:tblGrid>
        <w:gridCol w:w="1017"/>
        <w:gridCol w:w="1046"/>
        <w:gridCol w:w="890"/>
        <w:gridCol w:w="3912"/>
        <w:gridCol w:w="3750"/>
      </w:tblGrid>
      <w:tr w:rsidR="00542690" w:rsidRPr="00521704" w14:paraId="67FCC023" w14:textId="77777777" w:rsidTr="00CD21AF">
        <w:trPr>
          <w:trHeight w:val="288"/>
        </w:trPr>
        <w:tc>
          <w:tcPr>
            <w:tcW w:w="481" w:type="pct"/>
            <w:tcBorders>
              <w:top w:val="single" w:sz="6" w:space="0" w:color="auto"/>
              <w:left w:val="single" w:sz="6" w:space="0" w:color="auto"/>
              <w:bottom w:val="single" w:sz="6" w:space="0" w:color="auto"/>
              <w:right w:val="single" w:sz="6" w:space="0" w:color="auto"/>
            </w:tcBorders>
          </w:tcPr>
          <w:p w14:paraId="56F058D6" w14:textId="77777777" w:rsidR="00E737A5" w:rsidRPr="00521704" w:rsidRDefault="00E737A5">
            <w:pPr>
              <w:autoSpaceDE w:val="0"/>
              <w:autoSpaceDN w:val="0"/>
              <w:adjustRightInd w:val="0"/>
              <w:rPr>
                <w:rFonts w:asciiTheme="minorHAnsi" w:hAnsiTheme="minorHAnsi" w:cstheme="minorHAnsi"/>
                <w:b/>
                <w:color w:val="000000"/>
              </w:rPr>
            </w:pPr>
            <w:bookmarkStart w:id="0" w:name="_GoBack"/>
            <w:bookmarkEnd w:id="0"/>
            <w:r w:rsidRPr="00521704">
              <w:rPr>
                <w:rFonts w:asciiTheme="minorHAnsi" w:hAnsiTheme="minorHAnsi" w:cstheme="minorHAnsi"/>
                <w:b/>
                <w:color w:val="000000"/>
              </w:rPr>
              <w:t>Number</w:t>
            </w:r>
          </w:p>
        </w:tc>
        <w:tc>
          <w:tcPr>
            <w:tcW w:w="494" w:type="pct"/>
            <w:tcBorders>
              <w:top w:val="single" w:sz="6" w:space="0" w:color="auto"/>
              <w:left w:val="single" w:sz="6" w:space="0" w:color="auto"/>
              <w:bottom w:val="single" w:sz="6" w:space="0" w:color="auto"/>
              <w:right w:val="single" w:sz="6" w:space="0" w:color="auto"/>
            </w:tcBorders>
          </w:tcPr>
          <w:p w14:paraId="5D8CEAD9" w14:textId="77777777" w:rsidR="00E737A5" w:rsidRPr="00521704" w:rsidRDefault="00E737A5">
            <w:pPr>
              <w:autoSpaceDE w:val="0"/>
              <w:autoSpaceDN w:val="0"/>
              <w:adjustRightInd w:val="0"/>
              <w:rPr>
                <w:rFonts w:asciiTheme="minorHAnsi" w:hAnsiTheme="minorHAnsi" w:cstheme="minorHAnsi"/>
                <w:b/>
                <w:color w:val="000000"/>
              </w:rPr>
            </w:pPr>
            <w:r w:rsidRPr="00521704">
              <w:rPr>
                <w:rFonts w:asciiTheme="minorHAnsi" w:hAnsiTheme="minorHAnsi" w:cstheme="minorHAnsi"/>
                <w:b/>
                <w:color w:val="000000"/>
              </w:rPr>
              <w:t>MS</w:t>
            </w:r>
          </w:p>
        </w:tc>
        <w:tc>
          <w:tcPr>
            <w:tcW w:w="413" w:type="pct"/>
            <w:tcBorders>
              <w:top w:val="single" w:sz="6" w:space="0" w:color="auto"/>
              <w:left w:val="single" w:sz="6" w:space="0" w:color="auto"/>
              <w:bottom w:val="single" w:sz="6" w:space="0" w:color="auto"/>
              <w:right w:val="single" w:sz="6" w:space="0" w:color="auto"/>
            </w:tcBorders>
          </w:tcPr>
          <w:p w14:paraId="021A7043" w14:textId="77777777" w:rsidR="00E737A5" w:rsidRPr="00521704" w:rsidRDefault="00E737A5">
            <w:pPr>
              <w:autoSpaceDE w:val="0"/>
              <w:autoSpaceDN w:val="0"/>
              <w:adjustRightInd w:val="0"/>
              <w:rPr>
                <w:rFonts w:asciiTheme="minorHAnsi" w:hAnsiTheme="minorHAnsi" w:cstheme="minorHAnsi"/>
                <w:b/>
                <w:color w:val="000000"/>
              </w:rPr>
            </w:pPr>
            <w:r w:rsidRPr="00521704">
              <w:rPr>
                <w:rFonts w:asciiTheme="minorHAnsi" w:hAnsiTheme="minorHAnsi" w:cstheme="minorHAnsi"/>
                <w:b/>
                <w:color w:val="000000"/>
              </w:rPr>
              <w:t>Section</w:t>
            </w:r>
          </w:p>
        </w:tc>
        <w:tc>
          <w:tcPr>
            <w:tcW w:w="1844" w:type="pct"/>
            <w:tcBorders>
              <w:top w:val="single" w:sz="6" w:space="0" w:color="auto"/>
              <w:left w:val="single" w:sz="6" w:space="0" w:color="auto"/>
              <w:bottom w:val="single" w:sz="6" w:space="0" w:color="auto"/>
              <w:right w:val="single" w:sz="6" w:space="0" w:color="auto"/>
            </w:tcBorders>
          </w:tcPr>
          <w:p w14:paraId="4B515D42" w14:textId="77777777" w:rsidR="00E737A5" w:rsidRPr="00521704" w:rsidRDefault="00E737A5">
            <w:pPr>
              <w:autoSpaceDE w:val="0"/>
              <w:autoSpaceDN w:val="0"/>
              <w:adjustRightInd w:val="0"/>
              <w:rPr>
                <w:rFonts w:asciiTheme="minorHAnsi" w:hAnsiTheme="minorHAnsi" w:cstheme="minorHAnsi"/>
                <w:b/>
                <w:color w:val="000000"/>
              </w:rPr>
            </w:pPr>
            <w:r w:rsidRPr="00521704">
              <w:rPr>
                <w:rFonts w:asciiTheme="minorHAnsi" w:hAnsiTheme="minorHAnsi" w:cstheme="minorHAnsi"/>
                <w:b/>
                <w:color w:val="000000"/>
              </w:rPr>
              <w:t>Question/comment</w:t>
            </w:r>
          </w:p>
        </w:tc>
        <w:tc>
          <w:tcPr>
            <w:tcW w:w="1768" w:type="pct"/>
            <w:tcBorders>
              <w:top w:val="single" w:sz="6" w:space="0" w:color="auto"/>
              <w:left w:val="single" w:sz="6" w:space="0" w:color="auto"/>
              <w:bottom w:val="single" w:sz="6" w:space="0" w:color="auto"/>
              <w:right w:val="single" w:sz="6" w:space="0" w:color="auto"/>
            </w:tcBorders>
          </w:tcPr>
          <w:p w14:paraId="0B73792F" w14:textId="77777777" w:rsidR="00E737A5" w:rsidRPr="00521704" w:rsidRDefault="00E737A5">
            <w:pPr>
              <w:autoSpaceDE w:val="0"/>
              <w:autoSpaceDN w:val="0"/>
              <w:adjustRightInd w:val="0"/>
              <w:rPr>
                <w:rFonts w:asciiTheme="minorHAnsi" w:hAnsiTheme="minorHAnsi" w:cstheme="minorHAnsi"/>
                <w:b/>
                <w:color w:val="000000"/>
              </w:rPr>
            </w:pPr>
            <w:r w:rsidRPr="00521704">
              <w:rPr>
                <w:rFonts w:asciiTheme="minorHAnsi" w:hAnsiTheme="minorHAnsi" w:cstheme="minorHAnsi"/>
                <w:b/>
                <w:color w:val="000000"/>
              </w:rPr>
              <w:t>EMSA response</w:t>
            </w:r>
          </w:p>
        </w:tc>
      </w:tr>
      <w:tr w:rsidR="00A57A62" w:rsidRPr="00521704" w14:paraId="0F423B1E" w14:textId="77777777" w:rsidTr="009C313B">
        <w:trPr>
          <w:trHeight w:val="1152"/>
        </w:trPr>
        <w:tc>
          <w:tcPr>
            <w:tcW w:w="481" w:type="pct"/>
            <w:tcBorders>
              <w:top w:val="single" w:sz="6" w:space="0" w:color="auto"/>
              <w:left w:val="single" w:sz="6" w:space="0" w:color="auto"/>
              <w:bottom w:val="single" w:sz="6" w:space="0" w:color="auto"/>
              <w:right w:val="single" w:sz="6" w:space="0" w:color="auto"/>
            </w:tcBorders>
          </w:tcPr>
          <w:p w14:paraId="6663E42A" w14:textId="27DB7A98"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1</w:t>
            </w:r>
          </w:p>
        </w:tc>
        <w:tc>
          <w:tcPr>
            <w:tcW w:w="494" w:type="pct"/>
            <w:tcBorders>
              <w:top w:val="single" w:sz="6" w:space="0" w:color="auto"/>
              <w:left w:val="single" w:sz="6" w:space="0" w:color="auto"/>
              <w:bottom w:val="single" w:sz="6" w:space="0" w:color="auto"/>
              <w:right w:val="single" w:sz="6" w:space="0" w:color="auto"/>
            </w:tcBorders>
          </w:tcPr>
          <w:p w14:paraId="21351D37"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0DAE876C"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0</w:t>
            </w:r>
          </w:p>
        </w:tc>
        <w:tc>
          <w:tcPr>
            <w:tcW w:w="1844" w:type="pct"/>
            <w:tcBorders>
              <w:top w:val="single" w:sz="6" w:space="0" w:color="auto"/>
              <w:left w:val="single" w:sz="6" w:space="0" w:color="auto"/>
              <w:bottom w:val="single" w:sz="6" w:space="0" w:color="auto"/>
              <w:right w:val="single" w:sz="6" w:space="0" w:color="auto"/>
            </w:tcBorders>
          </w:tcPr>
          <w:p w14:paraId="7B8DF5CD" w14:textId="578CF352"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This document contains various statements that can be considered as general principles. Other EMSWe documents such as the documents for the MIG and the spreadsheets contain a chapter with general principles. To keep the various documents consistent, it might be helpful to use general principles for this document as well.</w:t>
            </w:r>
          </w:p>
        </w:tc>
        <w:tc>
          <w:tcPr>
            <w:tcW w:w="1768" w:type="pct"/>
            <w:tcBorders>
              <w:top w:val="single" w:sz="6" w:space="0" w:color="auto"/>
              <w:left w:val="single" w:sz="6" w:space="0" w:color="auto"/>
              <w:bottom w:val="single" w:sz="6" w:space="0" w:color="auto"/>
              <w:right w:val="single" w:sz="6" w:space="0" w:color="auto"/>
            </w:tcBorders>
          </w:tcPr>
          <w:p w14:paraId="101BA2D3" w14:textId="5738142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Noted. The document is structured to address the requirements from the Regulation, e.g.  technical specifications, standards and procedures with respect to the collecting, storing, updating and provision of the ship information. The document is therefore more focused on the implementation and management of the CHD. Its structure was presented and agreed with the Commission.</w:t>
            </w:r>
          </w:p>
        </w:tc>
      </w:tr>
      <w:tr w:rsidR="00A57A62" w:rsidRPr="00521704" w14:paraId="51CB9690" w14:textId="77777777" w:rsidTr="009C313B">
        <w:trPr>
          <w:trHeight w:val="576"/>
        </w:trPr>
        <w:tc>
          <w:tcPr>
            <w:tcW w:w="481" w:type="pct"/>
            <w:tcBorders>
              <w:top w:val="single" w:sz="6" w:space="0" w:color="auto"/>
              <w:left w:val="single" w:sz="6" w:space="0" w:color="auto"/>
              <w:bottom w:val="single" w:sz="6" w:space="0" w:color="auto"/>
              <w:right w:val="single" w:sz="6" w:space="0" w:color="auto"/>
            </w:tcBorders>
          </w:tcPr>
          <w:p w14:paraId="7AE2A5CB" w14:textId="1B0EFAD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2</w:t>
            </w:r>
          </w:p>
        </w:tc>
        <w:tc>
          <w:tcPr>
            <w:tcW w:w="494" w:type="pct"/>
            <w:tcBorders>
              <w:top w:val="single" w:sz="6" w:space="0" w:color="auto"/>
              <w:left w:val="single" w:sz="6" w:space="0" w:color="auto"/>
              <w:bottom w:val="single" w:sz="6" w:space="0" w:color="auto"/>
              <w:right w:val="single" w:sz="6" w:space="0" w:color="auto"/>
            </w:tcBorders>
          </w:tcPr>
          <w:p w14:paraId="63FF49EA"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DE</w:t>
            </w:r>
          </w:p>
        </w:tc>
        <w:tc>
          <w:tcPr>
            <w:tcW w:w="413" w:type="pct"/>
            <w:tcBorders>
              <w:top w:val="single" w:sz="6" w:space="0" w:color="auto"/>
              <w:left w:val="single" w:sz="6" w:space="0" w:color="auto"/>
              <w:bottom w:val="single" w:sz="6" w:space="0" w:color="auto"/>
              <w:right w:val="single" w:sz="6" w:space="0" w:color="auto"/>
            </w:tcBorders>
          </w:tcPr>
          <w:p w14:paraId="53C388DF"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0</w:t>
            </w:r>
          </w:p>
        </w:tc>
        <w:tc>
          <w:tcPr>
            <w:tcW w:w="1844" w:type="pct"/>
            <w:tcBorders>
              <w:top w:val="single" w:sz="6" w:space="0" w:color="auto"/>
              <w:left w:val="single" w:sz="6" w:space="0" w:color="auto"/>
              <w:bottom w:val="single" w:sz="6" w:space="0" w:color="auto"/>
              <w:right w:val="single" w:sz="6" w:space="0" w:color="auto"/>
            </w:tcBorders>
          </w:tcPr>
          <w:p w14:paraId="0F66BE50"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Introduction. Is this another database than the SSN CHD?</w:t>
            </w:r>
          </w:p>
        </w:tc>
        <w:tc>
          <w:tcPr>
            <w:tcW w:w="1768" w:type="pct"/>
            <w:tcBorders>
              <w:top w:val="single" w:sz="6" w:space="0" w:color="auto"/>
              <w:left w:val="single" w:sz="6" w:space="0" w:color="auto"/>
              <w:bottom w:val="single" w:sz="6" w:space="0" w:color="auto"/>
              <w:right w:val="single" w:sz="6" w:space="0" w:color="auto"/>
            </w:tcBorders>
          </w:tcPr>
          <w:p w14:paraId="739FBABB" w14:textId="5E741C36"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How to develop the EMSWe CHD will be assessed once the business requirements expressed in the meeting paper are finalized with the Group. As </w:t>
            </w:r>
            <w:proofErr w:type="spellStart"/>
            <w:r w:rsidRPr="00521704">
              <w:rPr>
                <w:rFonts w:asciiTheme="minorHAnsi" w:hAnsiTheme="minorHAnsi" w:cstheme="minorHAnsi"/>
                <w:color w:val="000000"/>
              </w:rPr>
              <w:t>As</w:t>
            </w:r>
            <w:proofErr w:type="spellEnd"/>
            <w:r w:rsidRPr="00521704">
              <w:rPr>
                <w:rFonts w:asciiTheme="minorHAnsi" w:hAnsiTheme="minorHAnsi" w:cstheme="minorHAnsi"/>
                <w:color w:val="000000"/>
              </w:rPr>
              <w:t xml:space="preserve"> stated in </w:t>
            </w:r>
            <w:r w:rsidRPr="00521704">
              <w:rPr>
                <w:rFonts w:asciiTheme="minorHAnsi" w:hAnsiTheme="minorHAnsi" w:cstheme="minorHAnsi"/>
                <w:i/>
                <w:color w:val="000000"/>
              </w:rPr>
              <w:t>Proposal no 1</w:t>
            </w:r>
            <w:r w:rsidRPr="00521704">
              <w:rPr>
                <w:rFonts w:asciiTheme="minorHAnsi" w:hAnsiTheme="minorHAnsi" w:cstheme="minorHAnsi"/>
                <w:color w:val="000000"/>
              </w:rPr>
              <w:t xml:space="preserve"> there is a significant overlap between the EMSWe CHD and the SSN CHD. The paper was drafted in order to maximise the similarities and limit the potential impact.</w:t>
            </w:r>
          </w:p>
        </w:tc>
      </w:tr>
      <w:tr w:rsidR="00A57A62" w:rsidRPr="00521704" w14:paraId="7A99163B" w14:textId="77777777" w:rsidTr="009C313B">
        <w:trPr>
          <w:trHeight w:val="486"/>
        </w:trPr>
        <w:tc>
          <w:tcPr>
            <w:tcW w:w="481" w:type="pct"/>
            <w:tcBorders>
              <w:top w:val="single" w:sz="6" w:space="0" w:color="auto"/>
              <w:left w:val="single" w:sz="6" w:space="0" w:color="auto"/>
              <w:bottom w:val="single" w:sz="6" w:space="0" w:color="auto"/>
              <w:right w:val="single" w:sz="6" w:space="0" w:color="auto"/>
            </w:tcBorders>
          </w:tcPr>
          <w:p w14:paraId="0A5BEB42" w14:textId="7A121EA2"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3</w:t>
            </w:r>
          </w:p>
        </w:tc>
        <w:tc>
          <w:tcPr>
            <w:tcW w:w="494" w:type="pct"/>
            <w:tcBorders>
              <w:top w:val="single" w:sz="6" w:space="0" w:color="auto"/>
              <w:left w:val="single" w:sz="6" w:space="0" w:color="auto"/>
              <w:bottom w:val="single" w:sz="6" w:space="0" w:color="auto"/>
              <w:right w:val="single" w:sz="6" w:space="0" w:color="auto"/>
            </w:tcBorders>
          </w:tcPr>
          <w:p w14:paraId="035CE765"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1E25CBCF"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1</w:t>
            </w:r>
          </w:p>
        </w:tc>
        <w:tc>
          <w:tcPr>
            <w:tcW w:w="1844" w:type="pct"/>
            <w:tcBorders>
              <w:top w:val="single" w:sz="6" w:space="0" w:color="auto"/>
              <w:left w:val="single" w:sz="6" w:space="0" w:color="auto"/>
              <w:bottom w:val="single" w:sz="6" w:space="0" w:color="auto"/>
              <w:right w:val="single" w:sz="6" w:space="0" w:color="auto"/>
            </w:tcBorders>
          </w:tcPr>
          <w:p w14:paraId="344439B4"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There is a connection with the work done by the EMSWe Interfaces and Data team. </w:t>
            </w:r>
            <w:proofErr w:type="gramStart"/>
            <w:r w:rsidRPr="00521704">
              <w:rPr>
                <w:rFonts w:asciiTheme="minorHAnsi" w:hAnsiTheme="minorHAnsi" w:cstheme="minorHAnsi"/>
                <w:color w:val="000000"/>
              </w:rPr>
              <w:t>Therefore</w:t>
            </w:r>
            <w:proofErr w:type="gramEnd"/>
            <w:r w:rsidRPr="00521704">
              <w:rPr>
                <w:rFonts w:asciiTheme="minorHAnsi" w:hAnsiTheme="minorHAnsi" w:cstheme="minorHAnsi"/>
                <w:color w:val="000000"/>
              </w:rPr>
              <w:t xml:space="preserve"> the work of the different teams should be aligned. </w:t>
            </w:r>
          </w:p>
          <w:p w14:paraId="2B088DEE" w14:textId="38668ED3"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(Also see our general remarks, no 2)</w:t>
            </w:r>
          </w:p>
        </w:tc>
        <w:tc>
          <w:tcPr>
            <w:tcW w:w="1768" w:type="pct"/>
            <w:tcBorders>
              <w:top w:val="single" w:sz="6" w:space="0" w:color="auto"/>
              <w:left w:val="single" w:sz="6" w:space="0" w:color="auto"/>
              <w:bottom w:val="single" w:sz="6" w:space="0" w:color="auto"/>
              <w:right w:val="single" w:sz="6" w:space="0" w:color="auto"/>
            </w:tcBorders>
          </w:tcPr>
          <w:p w14:paraId="22F00AE9"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work of all groups is executed in parallel. EMSA participates in all groups in order to ensure that the work is aligned.</w:t>
            </w:r>
          </w:p>
          <w:p w14:paraId="6DDF4969"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As indicated, the work of the EMSWe Data Team will be reflected in the document once the EMSWe dataset is finalised.</w:t>
            </w:r>
          </w:p>
          <w:p w14:paraId="0239B31D" w14:textId="2A1026E6"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As regards the Interfaces Team, use of common databases is addressed in the GUI functionalities document.</w:t>
            </w:r>
          </w:p>
        </w:tc>
      </w:tr>
      <w:tr w:rsidR="00A57A62" w:rsidRPr="00521704" w14:paraId="1020F1A0" w14:textId="77777777" w:rsidTr="009C313B">
        <w:trPr>
          <w:trHeight w:val="1152"/>
        </w:trPr>
        <w:tc>
          <w:tcPr>
            <w:tcW w:w="481" w:type="pct"/>
            <w:tcBorders>
              <w:top w:val="single" w:sz="6" w:space="0" w:color="auto"/>
              <w:left w:val="single" w:sz="6" w:space="0" w:color="auto"/>
              <w:bottom w:val="single" w:sz="6" w:space="0" w:color="auto"/>
              <w:right w:val="single" w:sz="6" w:space="0" w:color="auto"/>
            </w:tcBorders>
          </w:tcPr>
          <w:p w14:paraId="5F1E9187" w14:textId="17FC8102"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w:t>
            </w:r>
          </w:p>
        </w:tc>
        <w:tc>
          <w:tcPr>
            <w:tcW w:w="494" w:type="pct"/>
            <w:tcBorders>
              <w:top w:val="single" w:sz="6" w:space="0" w:color="auto"/>
              <w:left w:val="single" w:sz="6" w:space="0" w:color="auto"/>
              <w:bottom w:val="single" w:sz="6" w:space="0" w:color="auto"/>
              <w:right w:val="single" w:sz="6" w:space="0" w:color="auto"/>
            </w:tcBorders>
          </w:tcPr>
          <w:p w14:paraId="32C1E3AD"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DE</w:t>
            </w:r>
          </w:p>
        </w:tc>
        <w:tc>
          <w:tcPr>
            <w:tcW w:w="413" w:type="pct"/>
            <w:tcBorders>
              <w:top w:val="single" w:sz="6" w:space="0" w:color="auto"/>
              <w:left w:val="single" w:sz="6" w:space="0" w:color="auto"/>
              <w:bottom w:val="single" w:sz="6" w:space="0" w:color="auto"/>
              <w:right w:val="single" w:sz="6" w:space="0" w:color="auto"/>
            </w:tcBorders>
          </w:tcPr>
          <w:p w14:paraId="53483272"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3.2</w:t>
            </w:r>
          </w:p>
        </w:tc>
        <w:tc>
          <w:tcPr>
            <w:tcW w:w="1844" w:type="pct"/>
            <w:tcBorders>
              <w:top w:val="single" w:sz="6" w:space="0" w:color="auto"/>
              <w:left w:val="single" w:sz="6" w:space="0" w:color="auto"/>
              <w:bottom w:val="single" w:sz="6" w:space="0" w:color="auto"/>
              <w:right w:val="single" w:sz="6" w:space="0" w:color="auto"/>
            </w:tcBorders>
          </w:tcPr>
          <w:p w14:paraId="016B5289"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Why are all codes stuffed into one table? There should better be one table for each code, as all codes have different attributes.</w:t>
            </w:r>
          </w:p>
          <w:p w14:paraId="0D49F13E"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See business rule (in excel file):</w:t>
            </w:r>
          </w:p>
          <w:p w14:paraId="13C42E03" w14:textId="68B89616"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“May be applicable for some IMDG, IGC and IMSB goods. Not applicable for IBC and MARPOL Annex I goods.”</w:t>
            </w:r>
          </w:p>
        </w:tc>
        <w:tc>
          <w:tcPr>
            <w:tcW w:w="1768" w:type="pct"/>
            <w:tcBorders>
              <w:top w:val="single" w:sz="6" w:space="0" w:color="auto"/>
              <w:left w:val="single" w:sz="6" w:space="0" w:color="auto"/>
              <w:bottom w:val="single" w:sz="6" w:space="0" w:color="auto"/>
              <w:right w:val="single" w:sz="6" w:space="0" w:color="auto"/>
            </w:tcBorders>
          </w:tcPr>
          <w:p w14:paraId="6825E076" w14:textId="63324D32"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dataset consolidates all tables from the EMSWe CHD into one flat table. Technically, the database is organized into one table per Code.</w:t>
            </w:r>
          </w:p>
        </w:tc>
      </w:tr>
      <w:tr w:rsidR="00A57A62" w:rsidRPr="00521704" w14:paraId="103C811B"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363F1CFA" w14:textId="5F4B6308"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w:t>
            </w:r>
          </w:p>
        </w:tc>
        <w:tc>
          <w:tcPr>
            <w:tcW w:w="494" w:type="pct"/>
            <w:tcBorders>
              <w:top w:val="single" w:sz="6" w:space="0" w:color="auto"/>
              <w:left w:val="single" w:sz="6" w:space="0" w:color="auto"/>
              <w:bottom w:val="single" w:sz="6" w:space="0" w:color="auto"/>
              <w:right w:val="single" w:sz="6" w:space="0" w:color="auto"/>
            </w:tcBorders>
          </w:tcPr>
          <w:p w14:paraId="2E477744"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DE</w:t>
            </w:r>
          </w:p>
        </w:tc>
        <w:tc>
          <w:tcPr>
            <w:tcW w:w="413" w:type="pct"/>
            <w:tcBorders>
              <w:top w:val="single" w:sz="6" w:space="0" w:color="auto"/>
              <w:left w:val="single" w:sz="6" w:space="0" w:color="auto"/>
              <w:bottom w:val="single" w:sz="6" w:space="0" w:color="auto"/>
              <w:right w:val="single" w:sz="6" w:space="0" w:color="auto"/>
            </w:tcBorders>
          </w:tcPr>
          <w:p w14:paraId="06B73A62"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3E476A70" w14:textId="091B989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Will it be a common functionality of the RIM to get information from the EMSWe CHD?</w:t>
            </w:r>
          </w:p>
        </w:tc>
        <w:tc>
          <w:tcPr>
            <w:tcW w:w="1768" w:type="pct"/>
            <w:tcBorders>
              <w:top w:val="single" w:sz="6" w:space="0" w:color="auto"/>
              <w:left w:val="single" w:sz="6" w:space="0" w:color="auto"/>
              <w:bottom w:val="single" w:sz="6" w:space="0" w:color="auto"/>
              <w:right w:val="single" w:sz="6" w:space="0" w:color="auto"/>
            </w:tcBorders>
          </w:tcPr>
          <w:p w14:paraId="0660559A" w14:textId="764397EB"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This is not a question for the SSN group for the EMSWe Databases. This group has been tasked to define system interfaces between the common databases and MNSWs. The idea of developing a common software module that can be used by all NMSWs should be discussed in the EMSWe group.</w:t>
            </w:r>
          </w:p>
          <w:p w14:paraId="1A280DC8" w14:textId="77777777" w:rsidR="009156B0" w:rsidRPr="00521704" w:rsidRDefault="009156B0" w:rsidP="009C313B">
            <w:pPr>
              <w:autoSpaceDE w:val="0"/>
              <w:autoSpaceDN w:val="0"/>
              <w:adjustRightInd w:val="0"/>
              <w:rPr>
                <w:rFonts w:asciiTheme="minorHAnsi" w:hAnsiTheme="minorHAnsi" w:cstheme="minorHAnsi"/>
                <w:color w:val="000000"/>
              </w:rPr>
            </w:pPr>
          </w:p>
          <w:p w14:paraId="38C0A354" w14:textId="1E17102A" w:rsidR="009156B0" w:rsidRPr="00521704" w:rsidRDefault="009156B0" w:rsidP="009156B0">
            <w:pPr>
              <w:textAlignment w:val="center"/>
              <w:rPr>
                <w:rFonts w:asciiTheme="minorHAnsi" w:eastAsia="Times New Roman" w:hAnsiTheme="minorHAnsi" w:cstheme="minorHAnsi"/>
                <w:lang w:val="en-US" w:eastAsia="nl-BE"/>
              </w:rPr>
            </w:pPr>
            <w:r w:rsidRPr="00521704">
              <w:rPr>
                <w:rFonts w:asciiTheme="minorHAnsi" w:eastAsia="Times New Roman" w:hAnsiTheme="minorHAnsi" w:cstheme="minorHAnsi"/>
                <w:i/>
                <w:iCs/>
                <w:lang w:val="en-US" w:eastAsia="nl-BE"/>
              </w:rPr>
              <w:lastRenderedPageBreak/>
              <w:t>Answer from Commission</w:t>
            </w:r>
            <w:r w:rsidRPr="00521704">
              <w:rPr>
                <w:rFonts w:asciiTheme="minorHAnsi" w:eastAsia="Times New Roman" w:hAnsiTheme="minorHAnsi" w:cstheme="minorHAnsi"/>
                <w:lang w:val="en-US" w:eastAsia="nl-BE"/>
              </w:rPr>
              <w:t>: The CLD and other databases (ESD, CHD) are meant to interact with MNSW directly. As stated in the Regulation Article 2(4), RIM is a middleware through which information is exchanged between IT system of declarant and MNSW.</w:t>
            </w:r>
          </w:p>
          <w:p w14:paraId="75D3CD62" w14:textId="1FC347D6" w:rsidR="009156B0" w:rsidRPr="00521704" w:rsidRDefault="009156B0" w:rsidP="009156B0">
            <w:pPr>
              <w:textAlignment w:val="center"/>
              <w:rPr>
                <w:rFonts w:asciiTheme="minorHAnsi" w:eastAsia="Times New Roman" w:hAnsiTheme="minorHAnsi" w:cstheme="minorHAnsi"/>
                <w:lang w:val="en-US" w:eastAsia="nl-BE"/>
              </w:rPr>
            </w:pPr>
            <w:r w:rsidRPr="00521704">
              <w:rPr>
                <w:rFonts w:asciiTheme="minorHAnsi" w:eastAsia="Times New Roman" w:hAnsiTheme="minorHAnsi" w:cstheme="minorHAnsi"/>
                <w:lang w:val="en-US" w:eastAsia="nl-BE"/>
              </w:rPr>
              <w:t>The possibility for EMSWe CHD local copy to be available from RIM, needs to be assessed by Interfaces team. At this moment Commission is looking at the option where this database is not part of the RIM. The reason being – these databases are there to complement existing GUIs of the MNSW to act as a “cache” of data to facilitate declarant’s manual submission of data to various MNSWs. Even if the local copy of these databases would be part of the RIM, MS would still have to implement mechanisms to pull this data in GUI of MNSW – either directly from EMSWe CLD or RIM</w:t>
            </w:r>
          </w:p>
          <w:p w14:paraId="54CB244D" w14:textId="72CB9000" w:rsidR="009156B0" w:rsidRPr="00521704" w:rsidRDefault="009156B0" w:rsidP="009C313B">
            <w:pPr>
              <w:autoSpaceDE w:val="0"/>
              <w:autoSpaceDN w:val="0"/>
              <w:adjustRightInd w:val="0"/>
              <w:rPr>
                <w:rFonts w:asciiTheme="minorHAnsi" w:hAnsiTheme="minorHAnsi" w:cstheme="minorHAnsi"/>
                <w:color w:val="000000"/>
                <w:lang w:val="en-US"/>
              </w:rPr>
            </w:pPr>
          </w:p>
        </w:tc>
      </w:tr>
      <w:tr w:rsidR="00A57A62" w:rsidRPr="00521704" w14:paraId="15DF3014" w14:textId="77777777" w:rsidTr="009C313B">
        <w:trPr>
          <w:trHeight w:val="1945"/>
        </w:trPr>
        <w:tc>
          <w:tcPr>
            <w:tcW w:w="481" w:type="pct"/>
            <w:tcBorders>
              <w:top w:val="single" w:sz="6" w:space="0" w:color="auto"/>
              <w:left w:val="single" w:sz="6" w:space="0" w:color="auto"/>
              <w:bottom w:val="single" w:sz="6" w:space="0" w:color="auto"/>
              <w:right w:val="single" w:sz="6" w:space="0" w:color="auto"/>
            </w:tcBorders>
          </w:tcPr>
          <w:p w14:paraId="180E79A2" w14:textId="5E16D3C1"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lastRenderedPageBreak/>
              <w:t>6</w:t>
            </w:r>
          </w:p>
        </w:tc>
        <w:tc>
          <w:tcPr>
            <w:tcW w:w="494" w:type="pct"/>
            <w:tcBorders>
              <w:top w:val="single" w:sz="6" w:space="0" w:color="auto"/>
              <w:left w:val="single" w:sz="6" w:space="0" w:color="auto"/>
              <w:bottom w:val="single" w:sz="6" w:space="0" w:color="auto"/>
              <w:right w:val="single" w:sz="6" w:space="0" w:color="auto"/>
            </w:tcBorders>
          </w:tcPr>
          <w:p w14:paraId="7E5CEBE1"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DE</w:t>
            </w:r>
          </w:p>
        </w:tc>
        <w:tc>
          <w:tcPr>
            <w:tcW w:w="413" w:type="pct"/>
            <w:tcBorders>
              <w:top w:val="single" w:sz="6" w:space="0" w:color="auto"/>
              <w:left w:val="single" w:sz="6" w:space="0" w:color="auto"/>
              <w:bottom w:val="single" w:sz="6" w:space="0" w:color="auto"/>
              <w:right w:val="single" w:sz="6" w:space="0" w:color="auto"/>
            </w:tcBorders>
          </w:tcPr>
          <w:p w14:paraId="4DD20123"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0C8272DC" w14:textId="2638EDFD"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t>As there is a need for free text fields, a validation using the CHD on national Level is only hardly possible.</w:t>
            </w:r>
          </w:p>
        </w:tc>
        <w:tc>
          <w:tcPr>
            <w:tcW w:w="1768" w:type="pct"/>
            <w:tcBorders>
              <w:top w:val="single" w:sz="6" w:space="0" w:color="auto"/>
              <w:left w:val="single" w:sz="6" w:space="0" w:color="auto"/>
              <w:bottom w:val="single" w:sz="6" w:space="0" w:color="auto"/>
              <w:right w:val="single" w:sz="6" w:space="0" w:color="auto"/>
            </w:tcBorders>
          </w:tcPr>
          <w:p w14:paraId="037D1EEB" w14:textId="13B5541A"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The purpose of the EMSWe CHD is to facilitate the reporting and to serve as reference tool. It will not impose anything, and the MNSW should be able to accept any declaration. </w:t>
            </w:r>
          </w:p>
          <w:p w14:paraId="7217CB4D" w14:textId="6C85204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usage of free-text fields consequently means that data submitted may not be the same as data presented from the EMSWe CHD. This should be validated at source, i.e., by the MNSW as soon as data is submitted by the declarants and accepted by the MNSW.</w:t>
            </w:r>
          </w:p>
        </w:tc>
      </w:tr>
      <w:tr w:rsidR="00A57A62" w:rsidRPr="00521704" w14:paraId="48EF6575" w14:textId="77777777" w:rsidTr="009C313B">
        <w:trPr>
          <w:trHeight w:val="1945"/>
        </w:trPr>
        <w:tc>
          <w:tcPr>
            <w:tcW w:w="481" w:type="pct"/>
            <w:tcBorders>
              <w:top w:val="single" w:sz="6" w:space="0" w:color="auto"/>
              <w:left w:val="single" w:sz="6" w:space="0" w:color="auto"/>
              <w:bottom w:val="single" w:sz="6" w:space="0" w:color="auto"/>
              <w:right w:val="single" w:sz="6" w:space="0" w:color="auto"/>
            </w:tcBorders>
          </w:tcPr>
          <w:p w14:paraId="05A220E4" w14:textId="2CC671AD"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7</w:t>
            </w:r>
          </w:p>
        </w:tc>
        <w:tc>
          <w:tcPr>
            <w:tcW w:w="494" w:type="pct"/>
            <w:tcBorders>
              <w:top w:val="single" w:sz="6" w:space="0" w:color="auto"/>
              <w:left w:val="single" w:sz="6" w:space="0" w:color="auto"/>
              <w:bottom w:val="single" w:sz="6" w:space="0" w:color="auto"/>
              <w:right w:val="single" w:sz="6" w:space="0" w:color="auto"/>
            </w:tcBorders>
          </w:tcPr>
          <w:p w14:paraId="37D4850C" w14:textId="55509BF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FI</w:t>
            </w:r>
          </w:p>
        </w:tc>
        <w:tc>
          <w:tcPr>
            <w:tcW w:w="413" w:type="pct"/>
            <w:tcBorders>
              <w:top w:val="single" w:sz="6" w:space="0" w:color="auto"/>
              <w:left w:val="single" w:sz="6" w:space="0" w:color="auto"/>
              <w:bottom w:val="single" w:sz="6" w:space="0" w:color="auto"/>
              <w:right w:val="single" w:sz="6" w:space="0" w:color="auto"/>
            </w:tcBorders>
          </w:tcPr>
          <w:p w14:paraId="6F00FC5E" w14:textId="3812F3B4"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13DE8847" w14:textId="51630711" w:rsidR="00A57A62" w:rsidRPr="00521704" w:rsidRDefault="00A57A62" w:rsidP="009C313B">
            <w:pPr>
              <w:autoSpaceDE w:val="0"/>
              <w:autoSpaceDN w:val="0"/>
              <w:adjustRightInd w:val="0"/>
              <w:rPr>
                <w:rFonts w:asciiTheme="minorHAnsi" w:hAnsiTheme="minorHAnsi" w:cstheme="minorHAnsi"/>
              </w:rPr>
            </w:pPr>
            <w:r w:rsidRPr="00521704">
              <w:rPr>
                <w:rFonts w:asciiTheme="minorHAnsi" w:hAnsiTheme="minorHAnsi" w:cstheme="minorHAnsi"/>
              </w:rPr>
              <w:t>In order to manage user access rights in our NMSW are we directly linked to Central SSN via WUI like we are now in managing SSN access rights nowadays via Common Management Console? Or are there any other technical means like S2S interface. Other user access related question is, that will the user management database be totally centralized system (Corporate system), or will we be able to have a local user database for instance LDAP, which is linked to Central User Register via Web Services.</w:t>
            </w:r>
          </w:p>
        </w:tc>
        <w:tc>
          <w:tcPr>
            <w:tcW w:w="1768" w:type="pct"/>
            <w:tcBorders>
              <w:top w:val="single" w:sz="6" w:space="0" w:color="auto"/>
              <w:left w:val="single" w:sz="6" w:space="0" w:color="auto"/>
              <w:bottom w:val="single" w:sz="6" w:space="0" w:color="auto"/>
              <w:right w:val="single" w:sz="6" w:space="0" w:color="auto"/>
            </w:tcBorders>
          </w:tcPr>
          <w:p w14:paraId="5B1ED572" w14:textId="4E68349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EMSWe user registry and access management system foreseen in the Regulation relates to the access to the MNSWs (article 12 point 1). But interconnection with EMSA’s identity management system will have to be considered.</w:t>
            </w:r>
          </w:p>
        </w:tc>
      </w:tr>
      <w:tr w:rsidR="00A57A62" w:rsidRPr="00521704" w14:paraId="0A4F49E7" w14:textId="77777777" w:rsidTr="009C313B">
        <w:trPr>
          <w:trHeight w:val="1458"/>
        </w:trPr>
        <w:tc>
          <w:tcPr>
            <w:tcW w:w="481" w:type="pct"/>
            <w:tcBorders>
              <w:top w:val="single" w:sz="6" w:space="0" w:color="auto"/>
              <w:left w:val="single" w:sz="6" w:space="0" w:color="auto"/>
              <w:bottom w:val="single" w:sz="6" w:space="0" w:color="auto"/>
              <w:right w:val="single" w:sz="6" w:space="0" w:color="auto"/>
            </w:tcBorders>
          </w:tcPr>
          <w:p w14:paraId="2E442058" w14:textId="2D704B91"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lastRenderedPageBreak/>
              <w:t>8</w:t>
            </w:r>
          </w:p>
        </w:tc>
        <w:tc>
          <w:tcPr>
            <w:tcW w:w="494" w:type="pct"/>
            <w:tcBorders>
              <w:top w:val="single" w:sz="6" w:space="0" w:color="auto"/>
              <w:left w:val="single" w:sz="6" w:space="0" w:color="auto"/>
              <w:bottom w:val="single" w:sz="6" w:space="0" w:color="auto"/>
              <w:right w:val="single" w:sz="6" w:space="0" w:color="auto"/>
            </w:tcBorders>
          </w:tcPr>
          <w:p w14:paraId="0699A8D6"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BE</w:t>
            </w:r>
          </w:p>
        </w:tc>
        <w:tc>
          <w:tcPr>
            <w:tcW w:w="413" w:type="pct"/>
            <w:tcBorders>
              <w:top w:val="single" w:sz="6" w:space="0" w:color="auto"/>
              <w:left w:val="single" w:sz="6" w:space="0" w:color="auto"/>
              <w:bottom w:val="single" w:sz="6" w:space="0" w:color="auto"/>
              <w:right w:val="single" w:sz="6" w:space="0" w:color="auto"/>
            </w:tcBorders>
          </w:tcPr>
          <w:p w14:paraId="4FEEDD8D"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19B652D3" w14:textId="280FD41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Which data validation checks will need to be implemented at MNSW level?</w:t>
            </w:r>
          </w:p>
        </w:tc>
        <w:tc>
          <w:tcPr>
            <w:tcW w:w="1768" w:type="pct"/>
            <w:tcBorders>
              <w:top w:val="single" w:sz="6" w:space="0" w:color="auto"/>
              <w:left w:val="single" w:sz="6" w:space="0" w:color="auto"/>
              <w:bottom w:val="single" w:sz="6" w:space="0" w:color="auto"/>
              <w:right w:val="single" w:sz="6" w:space="0" w:color="auto"/>
            </w:tcBorders>
          </w:tcPr>
          <w:p w14:paraId="02943203" w14:textId="7672126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Such validation checks are being discussed by the EMSW Interfaces Team. This is for instance proposed in the MIG document in principle RIM-P21 – Information submitted is checked against EMSWe databases, and in the GUI document in section 3.3 - Logic of use of EMSWe databases</w:t>
            </w:r>
          </w:p>
        </w:tc>
      </w:tr>
      <w:tr w:rsidR="00A57A62" w:rsidRPr="00521704" w14:paraId="1E9D9E16" w14:textId="77777777" w:rsidTr="009C313B">
        <w:trPr>
          <w:trHeight w:val="1728"/>
        </w:trPr>
        <w:tc>
          <w:tcPr>
            <w:tcW w:w="481" w:type="pct"/>
            <w:tcBorders>
              <w:top w:val="single" w:sz="6" w:space="0" w:color="auto"/>
              <w:left w:val="single" w:sz="6" w:space="0" w:color="auto"/>
              <w:bottom w:val="single" w:sz="6" w:space="0" w:color="auto"/>
              <w:right w:val="single" w:sz="6" w:space="0" w:color="auto"/>
            </w:tcBorders>
          </w:tcPr>
          <w:p w14:paraId="1ED2C7DD" w14:textId="1E3E6E26"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9</w:t>
            </w:r>
          </w:p>
        </w:tc>
        <w:tc>
          <w:tcPr>
            <w:tcW w:w="494" w:type="pct"/>
            <w:tcBorders>
              <w:top w:val="single" w:sz="6" w:space="0" w:color="auto"/>
              <w:left w:val="single" w:sz="6" w:space="0" w:color="auto"/>
              <w:bottom w:val="single" w:sz="6" w:space="0" w:color="auto"/>
              <w:right w:val="single" w:sz="6" w:space="0" w:color="auto"/>
            </w:tcBorders>
          </w:tcPr>
          <w:p w14:paraId="174A2273"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121850B6"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67F1309D"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An overall view of all tasks and responsibilities is needed for all components of the EMSWe-architecture. This information should therefore be consolidated in a separate document.</w:t>
            </w:r>
          </w:p>
          <w:p w14:paraId="49DD176B" w14:textId="2AE2D7FE"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(Also see our general remarks, no 3.)</w:t>
            </w:r>
          </w:p>
        </w:tc>
        <w:tc>
          <w:tcPr>
            <w:tcW w:w="1768" w:type="pct"/>
            <w:tcBorders>
              <w:top w:val="single" w:sz="6" w:space="0" w:color="auto"/>
              <w:left w:val="single" w:sz="6" w:space="0" w:color="auto"/>
              <w:bottom w:val="single" w:sz="6" w:space="0" w:color="auto"/>
              <w:right w:val="single" w:sz="6" w:space="0" w:color="auto"/>
            </w:tcBorders>
          </w:tcPr>
          <w:p w14:paraId="41D83608" w14:textId="4CAE90DE"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This is not a task for the SSN group for the EMSWe Databases. This group focuses on the roles and responsibilities for each database in view of the preparation of the implementing acts for each database.</w:t>
            </w:r>
          </w:p>
        </w:tc>
      </w:tr>
      <w:tr w:rsidR="00A57A62" w:rsidRPr="00521704" w14:paraId="3B608995" w14:textId="77777777" w:rsidTr="009C313B">
        <w:trPr>
          <w:trHeight w:val="3391"/>
        </w:trPr>
        <w:tc>
          <w:tcPr>
            <w:tcW w:w="481" w:type="pct"/>
            <w:tcBorders>
              <w:top w:val="single" w:sz="6" w:space="0" w:color="auto"/>
              <w:left w:val="single" w:sz="6" w:space="0" w:color="auto"/>
              <w:bottom w:val="single" w:sz="6" w:space="0" w:color="auto"/>
              <w:right w:val="single" w:sz="6" w:space="0" w:color="auto"/>
            </w:tcBorders>
          </w:tcPr>
          <w:p w14:paraId="1FC668EB" w14:textId="189935CF"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10</w:t>
            </w:r>
          </w:p>
        </w:tc>
        <w:tc>
          <w:tcPr>
            <w:tcW w:w="494" w:type="pct"/>
            <w:tcBorders>
              <w:top w:val="single" w:sz="6" w:space="0" w:color="auto"/>
              <w:left w:val="single" w:sz="6" w:space="0" w:color="auto"/>
              <w:bottom w:val="single" w:sz="6" w:space="0" w:color="auto"/>
              <w:right w:val="single" w:sz="6" w:space="0" w:color="auto"/>
            </w:tcBorders>
          </w:tcPr>
          <w:p w14:paraId="19B3B852"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1EB2D711"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4DF16045" w14:textId="279609BD"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What are the underlying arguments for the use of a local copy?</w:t>
            </w:r>
          </w:p>
        </w:tc>
        <w:tc>
          <w:tcPr>
            <w:tcW w:w="1768" w:type="pct"/>
            <w:tcBorders>
              <w:top w:val="single" w:sz="6" w:space="0" w:color="auto"/>
              <w:left w:val="single" w:sz="6" w:space="0" w:color="auto"/>
              <w:bottom w:val="single" w:sz="6" w:space="0" w:color="auto"/>
              <w:right w:val="single" w:sz="6" w:space="0" w:color="auto"/>
            </w:tcBorders>
          </w:tcPr>
          <w:p w14:paraId="4BDF4B89" w14:textId="77777777" w:rsidR="00B303C4" w:rsidRPr="00521704" w:rsidRDefault="00B303C4" w:rsidP="00B303C4">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arguments for using the local copy are the following:</w:t>
            </w:r>
          </w:p>
          <w:p w14:paraId="5061B177" w14:textId="1EC39A45" w:rsidR="00B303C4" w:rsidRPr="00521704" w:rsidRDefault="00B303C4" w:rsidP="00B303C4">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the Hazmat database is rather static. No need for continuous request when declarant prepares declaration if data is available locally.</w:t>
            </w:r>
          </w:p>
          <w:p w14:paraId="4EE2153F" w14:textId="393203F2" w:rsidR="00B303C4" w:rsidRPr="00521704" w:rsidRDefault="00B303C4" w:rsidP="00B303C4">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w:t>
            </w:r>
            <w:r w:rsidR="00163D09" w:rsidRPr="00521704">
              <w:rPr>
                <w:rFonts w:asciiTheme="minorHAnsi" w:hAnsiTheme="minorHAnsi" w:cstheme="minorHAnsi"/>
                <w:color w:val="000000"/>
              </w:rPr>
              <w:t xml:space="preserve"> n</w:t>
            </w:r>
            <w:r w:rsidRPr="00521704">
              <w:rPr>
                <w:rFonts w:asciiTheme="minorHAnsi" w:hAnsiTheme="minorHAnsi" w:cstheme="minorHAnsi"/>
                <w:color w:val="000000"/>
              </w:rPr>
              <w:t xml:space="preserve">o dependency with external system. Even if </w:t>
            </w:r>
            <w:r w:rsidR="00163D09" w:rsidRPr="00521704">
              <w:rPr>
                <w:rFonts w:asciiTheme="minorHAnsi" w:hAnsiTheme="minorHAnsi" w:cstheme="minorHAnsi"/>
                <w:color w:val="000000"/>
              </w:rPr>
              <w:t>the CHD</w:t>
            </w:r>
            <w:r w:rsidRPr="00521704">
              <w:rPr>
                <w:rFonts w:asciiTheme="minorHAnsi" w:hAnsiTheme="minorHAnsi" w:cstheme="minorHAnsi"/>
                <w:color w:val="000000"/>
              </w:rPr>
              <w:t xml:space="preserve"> has some technical intervention information is available at national level and MNSW works.</w:t>
            </w:r>
          </w:p>
          <w:p w14:paraId="0C2D27E7" w14:textId="65A6AEBF" w:rsidR="00A57A62" w:rsidRPr="00521704" w:rsidRDefault="00B303C4" w:rsidP="00B303C4">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w:t>
            </w:r>
            <w:r w:rsidR="00163D09" w:rsidRPr="00521704">
              <w:rPr>
                <w:rFonts w:asciiTheme="minorHAnsi" w:hAnsiTheme="minorHAnsi" w:cstheme="minorHAnsi"/>
                <w:color w:val="000000"/>
              </w:rPr>
              <w:t xml:space="preserve"> d</w:t>
            </w:r>
            <w:r w:rsidRPr="00521704">
              <w:rPr>
                <w:rFonts w:asciiTheme="minorHAnsi" w:hAnsiTheme="minorHAnsi" w:cstheme="minorHAnsi"/>
                <w:color w:val="000000"/>
              </w:rPr>
              <w:t xml:space="preserve">ata available locally gives more possibilities for the web interface (e.g. search after typing few characters of </w:t>
            </w:r>
            <w:r w:rsidR="00163D09" w:rsidRPr="00521704">
              <w:rPr>
                <w:rFonts w:asciiTheme="minorHAnsi" w:hAnsiTheme="minorHAnsi" w:cstheme="minorHAnsi"/>
                <w:color w:val="000000"/>
              </w:rPr>
              <w:t>a substance</w:t>
            </w:r>
            <w:r w:rsidRPr="00521704">
              <w:rPr>
                <w:rFonts w:asciiTheme="minorHAnsi" w:hAnsiTheme="minorHAnsi" w:cstheme="minorHAnsi"/>
                <w:color w:val="000000"/>
              </w:rPr>
              <w:t>, etc.)</w:t>
            </w:r>
          </w:p>
        </w:tc>
      </w:tr>
      <w:tr w:rsidR="00A57A62" w:rsidRPr="00521704" w14:paraId="72205E2D" w14:textId="77777777" w:rsidTr="009C313B">
        <w:trPr>
          <w:trHeight w:val="1412"/>
        </w:trPr>
        <w:tc>
          <w:tcPr>
            <w:tcW w:w="481" w:type="pct"/>
            <w:tcBorders>
              <w:top w:val="single" w:sz="6" w:space="0" w:color="auto"/>
              <w:left w:val="single" w:sz="6" w:space="0" w:color="auto"/>
              <w:bottom w:val="single" w:sz="6" w:space="0" w:color="auto"/>
              <w:right w:val="single" w:sz="6" w:space="0" w:color="auto"/>
            </w:tcBorders>
          </w:tcPr>
          <w:p w14:paraId="018AE99B" w14:textId="6E73B723"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11</w:t>
            </w:r>
          </w:p>
        </w:tc>
        <w:tc>
          <w:tcPr>
            <w:tcW w:w="494" w:type="pct"/>
            <w:tcBorders>
              <w:top w:val="single" w:sz="6" w:space="0" w:color="auto"/>
              <w:left w:val="single" w:sz="6" w:space="0" w:color="auto"/>
              <w:bottom w:val="single" w:sz="6" w:space="0" w:color="auto"/>
              <w:right w:val="single" w:sz="6" w:space="0" w:color="auto"/>
            </w:tcBorders>
          </w:tcPr>
          <w:p w14:paraId="493095EE"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67F4B542"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31DA9C90" w14:textId="4200698F"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How does the local copy stays synchronized with the CHD? Is the method described in this document the best way to do it?</w:t>
            </w:r>
          </w:p>
        </w:tc>
        <w:tc>
          <w:tcPr>
            <w:tcW w:w="1768" w:type="pct"/>
            <w:tcBorders>
              <w:top w:val="single" w:sz="6" w:space="0" w:color="auto"/>
              <w:left w:val="single" w:sz="6" w:space="0" w:color="auto"/>
              <w:bottom w:val="single" w:sz="6" w:space="0" w:color="auto"/>
              <w:right w:val="single" w:sz="6" w:space="0" w:color="auto"/>
            </w:tcBorders>
          </w:tcPr>
          <w:p w14:paraId="2AB51642" w14:textId="2517025A"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local copy is synchronized as explained in Section 5 of the document – via the announcement mechanism. In case of a technical issue this announcement message is queued until the MNSW can process it.</w:t>
            </w:r>
          </w:p>
          <w:p w14:paraId="0023A292" w14:textId="6CF088E8" w:rsidR="00A57A62" w:rsidRPr="00521704" w:rsidRDefault="00A57A62" w:rsidP="009C313B">
            <w:pPr>
              <w:autoSpaceDE w:val="0"/>
              <w:autoSpaceDN w:val="0"/>
              <w:adjustRightInd w:val="0"/>
              <w:rPr>
                <w:rFonts w:asciiTheme="minorHAnsi" w:hAnsiTheme="minorHAnsi" w:cstheme="minorHAnsi"/>
                <w:color w:val="000000"/>
              </w:rPr>
            </w:pPr>
          </w:p>
        </w:tc>
      </w:tr>
      <w:tr w:rsidR="00A57A62" w:rsidRPr="00521704" w14:paraId="6AD692D9" w14:textId="77777777" w:rsidTr="009C313B">
        <w:trPr>
          <w:trHeight w:val="1249"/>
        </w:trPr>
        <w:tc>
          <w:tcPr>
            <w:tcW w:w="481" w:type="pct"/>
            <w:tcBorders>
              <w:top w:val="single" w:sz="6" w:space="0" w:color="auto"/>
              <w:left w:val="single" w:sz="6" w:space="0" w:color="auto"/>
              <w:bottom w:val="single" w:sz="6" w:space="0" w:color="auto"/>
              <w:right w:val="single" w:sz="6" w:space="0" w:color="auto"/>
            </w:tcBorders>
          </w:tcPr>
          <w:p w14:paraId="1E9E2C3C" w14:textId="6845B9C4"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12</w:t>
            </w:r>
          </w:p>
        </w:tc>
        <w:tc>
          <w:tcPr>
            <w:tcW w:w="494" w:type="pct"/>
            <w:tcBorders>
              <w:top w:val="single" w:sz="6" w:space="0" w:color="auto"/>
              <w:left w:val="single" w:sz="6" w:space="0" w:color="auto"/>
              <w:bottom w:val="single" w:sz="6" w:space="0" w:color="auto"/>
              <w:right w:val="single" w:sz="6" w:space="0" w:color="auto"/>
            </w:tcBorders>
          </w:tcPr>
          <w:p w14:paraId="3513C94C" w14:textId="4B6180A9"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531E37BC" w14:textId="7691A42A"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494CF9F1" w14:textId="5B4B6963"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lang w:val="en-US"/>
              </w:rPr>
              <w:t>Working with a local copy doesn’t seem to be fully in line with / incorporated in the rest of the document. If Member States should use a local copy, then there should be clear functions for synchronizing and there should be functions for using data from the local copy. But the description seems to be a mix of having a local copy but also using functions for retrieving data directly used in the GUI.</w:t>
            </w:r>
          </w:p>
        </w:tc>
        <w:tc>
          <w:tcPr>
            <w:tcW w:w="1768" w:type="pct"/>
            <w:tcBorders>
              <w:top w:val="single" w:sz="6" w:space="0" w:color="auto"/>
              <w:left w:val="single" w:sz="6" w:space="0" w:color="auto"/>
              <w:bottom w:val="single" w:sz="6" w:space="0" w:color="auto"/>
              <w:right w:val="single" w:sz="6" w:space="0" w:color="auto"/>
            </w:tcBorders>
          </w:tcPr>
          <w:p w14:paraId="291D79CE" w14:textId="4D8C75EE"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As described in the document data can be retrieved from the GUI as a back-up solution to the S2S interface.</w:t>
            </w:r>
          </w:p>
        </w:tc>
      </w:tr>
      <w:tr w:rsidR="00A57A62" w:rsidRPr="00521704" w14:paraId="000CE70A" w14:textId="77777777" w:rsidTr="009C313B">
        <w:trPr>
          <w:trHeight w:val="1249"/>
        </w:trPr>
        <w:tc>
          <w:tcPr>
            <w:tcW w:w="481" w:type="pct"/>
            <w:tcBorders>
              <w:top w:val="single" w:sz="6" w:space="0" w:color="auto"/>
              <w:left w:val="single" w:sz="6" w:space="0" w:color="auto"/>
              <w:bottom w:val="single" w:sz="6" w:space="0" w:color="auto"/>
              <w:right w:val="single" w:sz="6" w:space="0" w:color="auto"/>
            </w:tcBorders>
          </w:tcPr>
          <w:p w14:paraId="5EC9EBD1" w14:textId="1FA1117A"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13</w:t>
            </w:r>
          </w:p>
        </w:tc>
        <w:tc>
          <w:tcPr>
            <w:tcW w:w="494" w:type="pct"/>
            <w:tcBorders>
              <w:top w:val="single" w:sz="6" w:space="0" w:color="auto"/>
              <w:left w:val="single" w:sz="6" w:space="0" w:color="auto"/>
              <w:bottom w:val="single" w:sz="6" w:space="0" w:color="auto"/>
              <w:right w:val="single" w:sz="6" w:space="0" w:color="auto"/>
            </w:tcBorders>
          </w:tcPr>
          <w:p w14:paraId="0368A8BD"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611E1F25"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028DEF78" w14:textId="20E74923"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Verification of DGP through semantic validations might not be easy ; they might turn out be too strict or not cover all cases necessary. We suggest </w:t>
            </w:r>
            <w:proofErr w:type="gramStart"/>
            <w:r w:rsidRPr="00521704">
              <w:rPr>
                <w:rFonts w:asciiTheme="minorHAnsi" w:hAnsiTheme="minorHAnsi" w:cstheme="minorHAnsi"/>
                <w:color w:val="000000"/>
              </w:rPr>
              <w:t>to consult</w:t>
            </w:r>
            <w:proofErr w:type="gramEnd"/>
            <w:r w:rsidRPr="00521704">
              <w:rPr>
                <w:rFonts w:asciiTheme="minorHAnsi" w:hAnsiTheme="minorHAnsi" w:cstheme="minorHAnsi"/>
                <w:color w:val="000000"/>
              </w:rPr>
              <w:t xml:space="preserve"> the port authorities for their best practices.</w:t>
            </w:r>
          </w:p>
          <w:p w14:paraId="63ED7A30" w14:textId="0803BDA1"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w:t>
            </w:r>
          </w:p>
          <w:p w14:paraId="5B9DA907" w14:textId="1A288E49"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lastRenderedPageBreak/>
              <w:t>Semantic validation of DGP might not be as straight forward as suggested here; see comment made earlier in the document.</w:t>
            </w:r>
          </w:p>
        </w:tc>
        <w:tc>
          <w:tcPr>
            <w:tcW w:w="1768" w:type="pct"/>
            <w:tcBorders>
              <w:top w:val="single" w:sz="6" w:space="0" w:color="auto"/>
              <w:left w:val="single" w:sz="6" w:space="0" w:color="auto"/>
              <w:bottom w:val="single" w:sz="6" w:space="0" w:color="auto"/>
              <w:right w:val="single" w:sz="6" w:space="0" w:color="auto"/>
            </w:tcBorders>
          </w:tcPr>
          <w:p w14:paraId="4A6A6289" w14:textId="52B3F5A6"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lastRenderedPageBreak/>
              <w:t xml:space="preserve">Noted. </w:t>
            </w:r>
          </w:p>
          <w:p w14:paraId="6E52F84F" w14:textId="0E72BD06"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EMSA supports the Netherlands’ initiative to carry out such consultation and invites the Netherlands to present their findings with the EMSWe Group</w:t>
            </w:r>
          </w:p>
        </w:tc>
      </w:tr>
      <w:tr w:rsidR="00A57A62" w:rsidRPr="00521704" w14:paraId="2B47E668"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198A08E3" w14:textId="01283EAE"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14</w:t>
            </w:r>
          </w:p>
        </w:tc>
        <w:tc>
          <w:tcPr>
            <w:tcW w:w="494" w:type="pct"/>
            <w:tcBorders>
              <w:top w:val="single" w:sz="6" w:space="0" w:color="auto"/>
              <w:left w:val="single" w:sz="6" w:space="0" w:color="auto"/>
              <w:bottom w:val="single" w:sz="6" w:space="0" w:color="auto"/>
              <w:right w:val="single" w:sz="6" w:space="0" w:color="auto"/>
            </w:tcBorders>
          </w:tcPr>
          <w:p w14:paraId="5F83AE8D" w14:textId="15CDC133"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59CC3901" w14:textId="11798CFC"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0AB3B6C8" w14:textId="35523689"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This is still under discussion in the Interfaces team (GUI); this belongs there and not in this document.</w:t>
            </w:r>
          </w:p>
        </w:tc>
        <w:tc>
          <w:tcPr>
            <w:tcW w:w="1768" w:type="pct"/>
            <w:tcBorders>
              <w:top w:val="single" w:sz="6" w:space="0" w:color="auto"/>
              <w:left w:val="single" w:sz="6" w:space="0" w:color="auto"/>
              <w:bottom w:val="single" w:sz="6" w:space="0" w:color="auto"/>
              <w:right w:val="single" w:sz="6" w:space="0" w:color="auto"/>
            </w:tcBorders>
          </w:tcPr>
          <w:p w14:paraId="2B77BAD9" w14:textId="0442AA9D" w:rsidR="00A57A62" w:rsidRPr="00521704" w:rsidRDefault="000A2573"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work of all groups is executed in parallel. EMSA participates in all groups in order to ensure that the work is aligned.</w:t>
            </w:r>
          </w:p>
        </w:tc>
      </w:tr>
      <w:tr w:rsidR="00A57A62" w:rsidRPr="00521704" w14:paraId="275594AF"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6D08F706" w14:textId="18FFF92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15</w:t>
            </w:r>
          </w:p>
        </w:tc>
        <w:tc>
          <w:tcPr>
            <w:tcW w:w="494" w:type="pct"/>
            <w:tcBorders>
              <w:top w:val="single" w:sz="6" w:space="0" w:color="auto"/>
              <w:left w:val="single" w:sz="6" w:space="0" w:color="auto"/>
              <w:bottom w:val="single" w:sz="6" w:space="0" w:color="auto"/>
              <w:right w:val="single" w:sz="6" w:space="0" w:color="auto"/>
            </w:tcBorders>
          </w:tcPr>
          <w:p w14:paraId="0BF993AC"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DE</w:t>
            </w:r>
          </w:p>
        </w:tc>
        <w:tc>
          <w:tcPr>
            <w:tcW w:w="413" w:type="pct"/>
            <w:tcBorders>
              <w:top w:val="single" w:sz="6" w:space="0" w:color="auto"/>
              <w:left w:val="single" w:sz="6" w:space="0" w:color="auto"/>
              <w:bottom w:val="single" w:sz="6" w:space="0" w:color="auto"/>
              <w:right w:val="single" w:sz="6" w:space="0" w:color="auto"/>
            </w:tcBorders>
          </w:tcPr>
          <w:p w14:paraId="00A2F5F2"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w:t>
            </w:r>
          </w:p>
        </w:tc>
        <w:tc>
          <w:tcPr>
            <w:tcW w:w="1844" w:type="pct"/>
            <w:tcBorders>
              <w:top w:val="single" w:sz="6" w:space="0" w:color="auto"/>
              <w:left w:val="single" w:sz="6" w:space="0" w:color="auto"/>
              <w:bottom w:val="single" w:sz="6" w:space="0" w:color="auto"/>
              <w:right w:val="single" w:sz="6" w:space="0" w:color="auto"/>
            </w:tcBorders>
          </w:tcPr>
          <w:p w14:paraId="06C1EAD5" w14:textId="32E340D3"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How is this chapter connected to the EMSWe MIG? Will this be another MIG? Will it be a subchapter? If this is an extra MIG - how many MIGs will we have at the end?</w:t>
            </w:r>
          </w:p>
        </w:tc>
        <w:tc>
          <w:tcPr>
            <w:tcW w:w="1768" w:type="pct"/>
            <w:tcBorders>
              <w:top w:val="single" w:sz="6" w:space="0" w:color="auto"/>
              <w:left w:val="single" w:sz="6" w:space="0" w:color="auto"/>
              <w:bottom w:val="single" w:sz="6" w:space="0" w:color="auto"/>
              <w:right w:val="single" w:sz="6" w:space="0" w:color="auto"/>
            </w:tcBorders>
          </w:tcPr>
          <w:p w14:paraId="4BBDE0A5" w14:textId="6C2E1238" w:rsidR="00A57A62" w:rsidRPr="00521704" w:rsidRDefault="00A57A62" w:rsidP="009C313B">
            <w:pPr>
              <w:autoSpaceDE w:val="0"/>
              <w:autoSpaceDN w:val="0"/>
              <w:adjustRightInd w:val="0"/>
              <w:rPr>
                <w:rFonts w:asciiTheme="minorHAnsi" w:hAnsiTheme="minorHAnsi" w:cstheme="minorHAnsi"/>
              </w:rPr>
            </w:pPr>
            <w:r w:rsidRPr="00521704">
              <w:rPr>
                <w:rFonts w:asciiTheme="minorHAnsi" w:hAnsiTheme="minorHAnsi" w:cstheme="minorHAnsi"/>
              </w:rPr>
              <w:t>It is not. The EMSWe MIG relates to the data exchanges between declarants’ systems and MNSWs through the RIM. The CHD document relates to the data exchanges between the CHD and the National SSN system and MNSWs.</w:t>
            </w:r>
          </w:p>
          <w:p w14:paraId="3E7DDD9D" w14:textId="77777777" w:rsidR="009156B0" w:rsidRPr="00521704" w:rsidRDefault="009156B0" w:rsidP="009C313B">
            <w:pPr>
              <w:autoSpaceDE w:val="0"/>
              <w:autoSpaceDN w:val="0"/>
              <w:adjustRightInd w:val="0"/>
              <w:rPr>
                <w:rFonts w:asciiTheme="minorHAnsi" w:hAnsiTheme="minorHAnsi" w:cstheme="minorHAnsi"/>
              </w:rPr>
            </w:pPr>
          </w:p>
          <w:p w14:paraId="585A9D68" w14:textId="6DAFD5D9" w:rsidR="009156B0" w:rsidRPr="00521704" w:rsidRDefault="009156B0" w:rsidP="009C313B">
            <w:pPr>
              <w:autoSpaceDE w:val="0"/>
              <w:autoSpaceDN w:val="0"/>
              <w:adjustRightInd w:val="0"/>
              <w:rPr>
                <w:rFonts w:asciiTheme="minorHAnsi" w:hAnsiTheme="minorHAnsi" w:cstheme="minorHAnsi"/>
                <w:color w:val="000000"/>
              </w:rPr>
            </w:pPr>
            <w:r w:rsidRPr="00521704">
              <w:rPr>
                <w:rFonts w:asciiTheme="minorHAnsi" w:eastAsia="Times New Roman" w:hAnsiTheme="minorHAnsi" w:cstheme="minorHAnsi"/>
                <w:i/>
                <w:iCs/>
                <w:lang w:val="en-US" w:eastAsia="nl-BE"/>
              </w:rPr>
              <w:t>Answer from Commission</w:t>
            </w:r>
            <w:r w:rsidRPr="00521704">
              <w:rPr>
                <w:rFonts w:asciiTheme="minorHAnsi" w:eastAsia="Times New Roman" w:hAnsiTheme="minorHAnsi" w:cstheme="minorHAnsi"/>
                <w:lang w:val="en-US" w:eastAsia="nl-BE"/>
              </w:rPr>
              <w:t xml:space="preserve">: </w:t>
            </w:r>
            <w:r w:rsidRPr="00521704">
              <w:rPr>
                <w:rFonts w:asciiTheme="minorHAnsi" w:hAnsiTheme="minorHAnsi" w:cstheme="minorHAnsi"/>
              </w:rPr>
              <w:t>When speaking about EMSWe MIG - it has been made clear that the scope is limited to the information exchange between declarants/data service and the RIM and between the RIM and MNSWs.</w:t>
            </w:r>
          </w:p>
        </w:tc>
      </w:tr>
      <w:tr w:rsidR="00A57A62" w:rsidRPr="00521704" w14:paraId="6E882D04"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074DC998" w14:textId="2F04EE68"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16</w:t>
            </w:r>
          </w:p>
        </w:tc>
        <w:tc>
          <w:tcPr>
            <w:tcW w:w="494" w:type="pct"/>
            <w:tcBorders>
              <w:top w:val="single" w:sz="6" w:space="0" w:color="auto"/>
              <w:left w:val="single" w:sz="6" w:space="0" w:color="auto"/>
              <w:bottom w:val="single" w:sz="6" w:space="0" w:color="auto"/>
              <w:right w:val="single" w:sz="6" w:space="0" w:color="auto"/>
            </w:tcBorders>
          </w:tcPr>
          <w:p w14:paraId="4E3B7FB2" w14:textId="54601984"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DE</w:t>
            </w:r>
          </w:p>
        </w:tc>
        <w:tc>
          <w:tcPr>
            <w:tcW w:w="413" w:type="pct"/>
            <w:tcBorders>
              <w:top w:val="single" w:sz="6" w:space="0" w:color="auto"/>
              <w:left w:val="single" w:sz="6" w:space="0" w:color="auto"/>
              <w:bottom w:val="single" w:sz="6" w:space="0" w:color="auto"/>
              <w:right w:val="single" w:sz="6" w:space="0" w:color="auto"/>
            </w:tcBorders>
          </w:tcPr>
          <w:p w14:paraId="5B9EA156" w14:textId="05BFB081"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w:t>
            </w:r>
          </w:p>
        </w:tc>
        <w:tc>
          <w:tcPr>
            <w:tcW w:w="1844" w:type="pct"/>
            <w:tcBorders>
              <w:top w:val="single" w:sz="6" w:space="0" w:color="auto"/>
              <w:left w:val="single" w:sz="6" w:space="0" w:color="auto"/>
              <w:bottom w:val="single" w:sz="6" w:space="0" w:color="auto"/>
              <w:right w:val="single" w:sz="6" w:space="0" w:color="auto"/>
            </w:tcBorders>
          </w:tcPr>
          <w:p w14:paraId="2539376B"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This should be common functionalities of the RIM.</w:t>
            </w:r>
          </w:p>
          <w:p w14:paraId="6FA039A1" w14:textId="1F0FCF2D"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Please indicate, how it is integrated into the EMSWe system architecture.</w:t>
            </w:r>
          </w:p>
        </w:tc>
        <w:tc>
          <w:tcPr>
            <w:tcW w:w="1768" w:type="pct"/>
            <w:tcBorders>
              <w:top w:val="single" w:sz="6" w:space="0" w:color="auto"/>
              <w:left w:val="single" w:sz="6" w:space="0" w:color="auto"/>
              <w:bottom w:val="single" w:sz="6" w:space="0" w:color="auto"/>
              <w:right w:val="single" w:sz="6" w:space="0" w:color="auto"/>
            </w:tcBorders>
          </w:tcPr>
          <w:p w14:paraId="30EC91CE" w14:textId="6E0DF036" w:rsidR="00A57A62" w:rsidRPr="00521704" w:rsidRDefault="00A57A62" w:rsidP="009C313B">
            <w:pPr>
              <w:autoSpaceDE w:val="0"/>
              <w:autoSpaceDN w:val="0"/>
              <w:adjustRightInd w:val="0"/>
              <w:rPr>
                <w:rFonts w:asciiTheme="minorHAnsi" w:hAnsiTheme="minorHAnsi" w:cstheme="minorHAnsi"/>
              </w:rPr>
            </w:pPr>
            <w:r w:rsidRPr="00521704">
              <w:rPr>
                <w:rFonts w:asciiTheme="minorHAnsi" w:hAnsiTheme="minorHAnsi" w:cstheme="minorHAnsi"/>
              </w:rPr>
              <w:t>This is not a question for the SSN group for the EMSWe Databases. This group has been tasked to define system interfaces between the common databases and MNSWs. The idea of developing a common software module that can be used by all NMSWs should be discussed in the EMSWe group.</w:t>
            </w:r>
          </w:p>
          <w:p w14:paraId="27C5291A" w14:textId="77777777" w:rsidR="009156B0" w:rsidRPr="00521704" w:rsidRDefault="009156B0" w:rsidP="009C313B">
            <w:pPr>
              <w:autoSpaceDE w:val="0"/>
              <w:autoSpaceDN w:val="0"/>
              <w:adjustRightInd w:val="0"/>
              <w:rPr>
                <w:rFonts w:asciiTheme="minorHAnsi" w:hAnsiTheme="minorHAnsi" w:cstheme="minorHAnsi"/>
              </w:rPr>
            </w:pPr>
          </w:p>
          <w:p w14:paraId="1026D9DD" w14:textId="77777777" w:rsidR="009156B0" w:rsidRPr="00521704" w:rsidRDefault="009156B0" w:rsidP="009156B0">
            <w:pPr>
              <w:pStyle w:val="CommentText"/>
              <w:rPr>
                <w:rFonts w:asciiTheme="minorHAnsi" w:hAnsiTheme="minorHAnsi" w:cstheme="minorHAnsi"/>
                <w:sz w:val="22"/>
                <w:szCs w:val="22"/>
              </w:rPr>
            </w:pPr>
            <w:r w:rsidRPr="00521704">
              <w:rPr>
                <w:rFonts w:asciiTheme="minorHAnsi" w:eastAsia="Times New Roman" w:hAnsiTheme="minorHAnsi" w:cstheme="minorHAnsi"/>
                <w:i/>
                <w:iCs/>
                <w:sz w:val="22"/>
                <w:szCs w:val="22"/>
                <w:lang w:val="en-US" w:eastAsia="nl-BE"/>
              </w:rPr>
              <w:t>Answer from Commission</w:t>
            </w:r>
            <w:r w:rsidRPr="00521704">
              <w:rPr>
                <w:rFonts w:asciiTheme="minorHAnsi" w:eastAsia="Times New Roman" w:hAnsiTheme="minorHAnsi" w:cstheme="minorHAnsi"/>
                <w:sz w:val="22"/>
                <w:szCs w:val="22"/>
                <w:lang w:val="en-US" w:eastAsia="nl-BE"/>
              </w:rPr>
              <w:t xml:space="preserve">: </w:t>
            </w:r>
            <w:r w:rsidRPr="00521704">
              <w:rPr>
                <w:rFonts w:asciiTheme="minorHAnsi" w:hAnsiTheme="minorHAnsi" w:cstheme="minorHAnsi"/>
                <w:sz w:val="22"/>
                <w:szCs w:val="22"/>
              </w:rPr>
              <w:t>RIM ensures S2S communication between declarants and MNSW. CHD, CLD, ESD communicates with MNSW. Data of these databases are made available in GUI of MNSW by Member States.</w:t>
            </w:r>
          </w:p>
          <w:p w14:paraId="3D809B26" w14:textId="77777777" w:rsidR="009156B0" w:rsidRPr="00521704" w:rsidRDefault="009156B0" w:rsidP="009156B0">
            <w:pPr>
              <w:pStyle w:val="CommentText"/>
              <w:rPr>
                <w:rFonts w:asciiTheme="minorHAnsi" w:hAnsiTheme="minorHAnsi" w:cstheme="minorHAnsi"/>
                <w:sz w:val="22"/>
                <w:szCs w:val="22"/>
              </w:rPr>
            </w:pPr>
            <w:r w:rsidRPr="00521704">
              <w:rPr>
                <w:rFonts w:asciiTheme="minorHAnsi" w:hAnsiTheme="minorHAnsi" w:cstheme="minorHAnsi"/>
                <w:sz w:val="22"/>
                <w:szCs w:val="22"/>
              </w:rPr>
              <w:t xml:space="preserve">If the connections to these databases should be implemented as part of the RIM, this does not mean that Ms are relieved from any implementation as the data from </w:t>
            </w:r>
            <w:proofErr w:type="gramStart"/>
            <w:r w:rsidRPr="00521704">
              <w:rPr>
                <w:rFonts w:asciiTheme="minorHAnsi" w:hAnsiTheme="minorHAnsi" w:cstheme="minorHAnsi"/>
                <w:sz w:val="22"/>
                <w:szCs w:val="22"/>
              </w:rPr>
              <w:t>these database</w:t>
            </w:r>
            <w:proofErr w:type="gramEnd"/>
            <w:r w:rsidRPr="00521704">
              <w:rPr>
                <w:rFonts w:asciiTheme="minorHAnsi" w:hAnsiTheme="minorHAnsi" w:cstheme="minorHAnsi"/>
                <w:sz w:val="22"/>
                <w:szCs w:val="22"/>
              </w:rPr>
              <w:t xml:space="preserve"> still needs to be made available also in the current GUIs of the MNSW. Development and maintenance of GUI of the MNSW is the responsibility of MS and their MNSW.</w:t>
            </w:r>
          </w:p>
          <w:p w14:paraId="09CCCC90" w14:textId="77777777" w:rsidR="009156B0" w:rsidRPr="00521704" w:rsidRDefault="009156B0" w:rsidP="009156B0">
            <w:pPr>
              <w:pStyle w:val="CommentText"/>
              <w:rPr>
                <w:rFonts w:asciiTheme="minorHAnsi" w:hAnsiTheme="minorHAnsi" w:cstheme="minorHAnsi"/>
                <w:sz w:val="22"/>
                <w:szCs w:val="22"/>
              </w:rPr>
            </w:pPr>
          </w:p>
          <w:p w14:paraId="283CB916" w14:textId="10D055EE" w:rsidR="009156B0" w:rsidRPr="00521704" w:rsidRDefault="009156B0" w:rsidP="009156B0">
            <w:pPr>
              <w:autoSpaceDE w:val="0"/>
              <w:autoSpaceDN w:val="0"/>
              <w:adjustRightInd w:val="0"/>
              <w:rPr>
                <w:rFonts w:asciiTheme="minorHAnsi" w:hAnsiTheme="minorHAnsi" w:cstheme="minorHAnsi"/>
              </w:rPr>
            </w:pPr>
            <w:r w:rsidRPr="00521704">
              <w:rPr>
                <w:rFonts w:asciiTheme="minorHAnsi" w:hAnsiTheme="minorHAnsi" w:cstheme="minorHAnsi"/>
              </w:rPr>
              <w:t xml:space="preserve">Overall architecture picture (and aligned to the Regulation) has been </w:t>
            </w:r>
            <w:r w:rsidRPr="00521704">
              <w:rPr>
                <w:rFonts w:asciiTheme="minorHAnsi" w:hAnsiTheme="minorHAnsi" w:cstheme="minorHAnsi"/>
              </w:rPr>
              <w:lastRenderedPageBreak/>
              <w:t xml:space="preserve">already provided during Interfaces thematic team meeting on 19 November 2019 and it gives the explanation of various connections MNSW will or already has. On more detailed architecture of specific technical </w:t>
            </w:r>
            <w:proofErr w:type="gramStart"/>
            <w:r w:rsidRPr="00521704">
              <w:rPr>
                <w:rFonts w:asciiTheme="minorHAnsi" w:hAnsiTheme="minorHAnsi" w:cstheme="minorHAnsi"/>
              </w:rPr>
              <w:t>solutions</w:t>
            </w:r>
            <w:proofErr w:type="gramEnd"/>
            <w:r w:rsidRPr="00521704">
              <w:rPr>
                <w:rFonts w:asciiTheme="minorHAnsi" w:hAnsiTheme="minorHAnsi" w:cstheme="minorHAnsi"/>
              </w:rPr>
              <w:t xml:space="preserve"> the work is still ongoing where also MS will be consulted. From the </w:t>
            </w:r>
            <w:proofErr w:type="gramStart"/>
            <w:r w:rsidRPr="00521704">
              <w:rPr>
                <w:rFonts w:asciiTheme="minorHAnsi" w:hAnsiTheme="minorHAnsi" w:cstheme="minorHAnsi"/>
              </w:rPr>
              <w:t>high level</w:t>
            </w:r>
            <w:proofErr w:type="gramEnd"/>
            <w:r w:rsidRPr="00521704">
              <w:rPr>
                <w:rFonts w:asciiTheme="minorHAnsi" w:hAnsiTheme="minorHAnsi" w:cstheme="minorHAnsi"/>
              </w:rPr>
              <w:t xml:space="preserve"> architectural diagram already provided, it is clearly demonstrated that the connections from EMSWe CLD, CHD and EMSWe ship database should be part of the MNSW back office architecture – similar to the connections of SSN where declarants are not directly exposed to. It is still under discussion for SSN group whether existing channels to SSN could be used to interact with these databases.</w:t>
            </w:r>
          </w:p>
          <w:p w14:paraId="70CFCA13" w14:textId="234BE067" w:rsidR="009156B0" w:rsidRPr="00521704" w:rsidRDefault="009156B0" w:rsidP="009C313B">
            <w:pPr>
              <w:autoSpaceDE w:val="0"/>
              <w:autoSpaceDN w:val="0"/>
              <w:adjustRightInd w:val="0"/>
              <w:rPr>
                <w:rFonts w:asciiTheme="minorHAnsi" w:hAnsiTheme="minorHAnsi" w:cstheme="minorHAnsi"/>
              </w:rPr>
            </w:pPr>
          </w:p>
        </w:tc>
      </w:tr>
      <w:tr w:rsidR="00A57A62" w:rsidRPr="00521704" w14:paraId="0B903B14" w14:textId="77777777" w:rsidTr="009C313B">
        <w:trPr>
          <w:trHeight w:val="982"/>
        </w:trPr>
        <w:tc>
          <w:tcPr>
            <w:tcW w:w="481" w:type="pct"/>
            <w:tcBorders>
              <w:top w:val="single" w:sz="6" w:space="0" w:color="auto"/>
              <w:left w:val="single" w:sz="6" w:space="0" w:color="auto"/>
              <w:bottom w:val="single" w:sz="6" w:space="0" w:color="auto"/>
              <w:right w:val="single" w:sz="6" w:space="0" w:color="auto"/>
            </w:tcBorders>
          </w:tcPr>
          <w:p w14:paraId="3D9F1CD5" w14:textId="4D6DF799"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lastRenderedPageBreak/>
              <w:t>17</w:t>
            </w:r>
          </w:p>
        </w:tc>
        <w:tc>
          <w:tcPr>
            <w:tcW w:w="494" w:type="pct"/>
            <w:tcBorders>
              <w:top w:val="single" w:sz="6" w:space="0" w:color="auto"/>
              <w:left w:val="single" w:sz="6" w:space="0" w:color="auto"/>
              <w:bottom w:val="single" w:sz="6" w:space="0" w:color="auto"/>
              <w:right w:val="single" w:sz="6" w:space="0" w:color="auto"/>
            </w:tcBorders>
          </w:tcPr>
          <w:p w14:paraId="1C21EDB3"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DE</w:t>
            </w:r>
          </w:p>
        </w:tc>
        <w:tc>
          <w:tcPr>
            <w:tcW w:w="413" w:type="pct"/>
            <w:tcBorders>
              <w:top w:val="single" w:sz="6" w:space="0" w:color="auto"/>
              <w:left w:val="single" w:sz="6" w:space="0" w:color="auto"/>
              <w:bottom w:val="single" w:sz="6" w:space="0" w:color="auto"/>
              <w:right w:val="single" w:sz="6" w:space="0" w:color="auto"/>
            </w:tcBorders>
          </w:tcPr>
          <w:p w14:paraId="5CA8A918"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w:t>
            </w:r>
          </w:p>
        </w:tc>
        <w:tc>
          <w:tcPr>
            <w:tcW w:w="1844" w:type="pct"/>
            <w:tcBorders>
              <w:top w:val="single" w:sz="6" w:space="0" w:color="auto"/>
              <w:left w:val="single" w:sz="6" w:space="0" w:color="auto"/>
              <w:bottom w:val="single" w:sz="6" w:space="0" w:color="auto"/>
              <w:right w:val="single" w:sz="6" w:space="0" w:color="auto"/>
            </w:tcBorders>
          </w:tcPr>
          <w:p w14:paraId="4D6BD8FB" w14:textId="56467955"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Why is there no request / response foreseen to request information about a UN number or a string that is contained in the name of a DG item?</w:t>
            </w:r>
          </w:p>
        </w:tc>
        <w:tc>
          <w:tcPr>
            <w:tcW w:w="1768" w:type="pct"/>
            <w:tcBorders>
              <w:top w:val="single" w:sz="6" w:space="0" w:color="auto"/>
              <w:left w:val="single" w:sz="6" w:space="0" w:color="auto"/>
              <w:bottom w:val="single" w:sz="6" w:space="0" w:color="auto"/>
              <w:right w:val="single" w:sz="6" w:space="0" w:color="auto"/>
            </w:tcBorders>
          </w:tcPr>
          <w:p w14:paraId="3D6FF82A" w14:textId="617BECB1"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Based on the principle that MNSW have a local copy permanently synchronized with the EMSWe CHD, such a service to support ad hoc queries is not needed. Queries made at national level do not need to reach the EMSWe CHD and should remain within the MNSW.</w:t>
            </w:r>
          </w:p>
        </w:tc>
      </w:tr>
      <w:tr w:rsidR="00A57A62" w:rsidRPr="00521704" w14:paraId="2D5A0B98" w14:textId="77777777" w:rsidTr="009C313B">
        <w:trPr>
          <w:trHeight w:val="982"/>
        </w:trPr>
        <w:tc>
          <w:tcPr>
            <w:tcW w:w="481" w:type="pct"/>
            <w:tcBorders>
              <w:top w:val="single" w:sz="6" w:space="0" w:color="auto"/>
              <w:left w:val="single" w:sz="6" w:space="0" w:color="auto"/>
              <w:bottom w:val="single" w:sz="6" w:space="0" w:color="auto"/>
              <w:right w:val="single" w:sz="6" w:space="0" w:color="auto"/>
            </w:tcBorders>
          </w:tcPr>
          <w:p w14:paraId="37371D3F" w14:textId="0A18FDC1"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18</w:t>
            </w:r>
          </w:p>
        </w:tc>
        <w:tc>
          <w:tcPr>
            <w:tcW w:w="494" w:type="pct"/>
            <w:tcBorders>
              <w:top w:val="single" w:sz="6" w:space="0" w:color="auto"/>
              <w:left w:val="single" w:sz="6" w:space="0" w:color="auto"/>
              <w:bottom w:val="single" w:sz="6" w:space="0" w:color="auto"/>
              <w:right w:val="single" w:sz="6" w:space="0" w:color="auto"/>
            </w:tcBorders>
          </w:tcPr>
          <w:p w14:paraId="5869CF74"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FI</w:t>
            </w:r>
          </w:p>
        </w:tc>
        <w:tc>
          <w:tcPr>
            <w:tcW w:w="413" w:type="pct"/>
            <w:tcBorders>
              <w:top w:val="single" w:sz="6" w:space="0" w:color="auto"/>
              <w:left w:val="single" w:sz="6" w:space="0" w:color="auto"/>
              <w:bottom w:val="single" w:sz="6" w:space="0" w:color="auto"/>
              <w:right w:val="single" w:sz="6" w:space="0" w:color="auto"/>
            </w:tcBorders>
          </w:tcPr>
          <w:p w14:paraId="6E487F9C"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w:t>
            </w:r>
          </w:p>
        </w:tc>
        <w:tc>
          <w:tcPr>
            <w:tcW w:w="1844" w:type="pct"/>
            <w:tcBorders>
              <w:top w:val="single" w:sz="6" w:space="0" w:color="auto"/>
              <w:left w:val="single" w:sz="6" w:space="0" w:color="auto"/>
              <w:bottom w:val="single" w:sz="6" w:space="0" w:color="auto"/>
              <w:right w:val="single" w:sz="6" w:space="0" w:color="auto"/>
            </w:tcBorders>
          </w:tcPr>
          <w:p w14:paraId="6E548825"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Do we have a read only access from our NMSW to </w:t>
            </w:r>
            <w:proofErr w:type="gramStart"/>
            <w:r w:rsidRPr="00521704">
              <w:rPr>
                <w:rFonts w:asciiTheme="minorHAnsi" w:hAnsiTheme="minorHAnsi" w:cstheme="minorHAnsi"/>
                <w:color w:val="000000"/>
              </w:rPr>
              <w:t>CHD.</w:t>
            </w:r>
            <w:proofErr w:type="gramEnd"/>
            <w:r w:rsidRPr="00521704">
              <w:rPr>
                <w:rFonts w:asciiTheme="minorHAnsi" w:hAnsiTheme="minorHAnsi" w:cstheme="minorHAnsi"/>
                <w:color w:val="000000"/>
              </w:rPr>
              <w:t xml:space="preserve"> And is the CHD updated only by EMSA.</w:t>
            </w:r>
          </w:p>
        </w:tc>
        <w:tc>
          <w:tcPr>
            <w:tcW w:w="1768" w:type="pct"/>
            <w:tcBorders>
              <w:top w:val="single" w:sz="6" w:space="0" w:color="auto"/>
              <w:left w:val="single" w:sz="6" w:space="0" w:color="auto"/>
              <w:bottom w:val="single" w:sz="6" w:space="0" w:color="auto"/>
              <w:right w:val="single" w:sz="6" w:space="0" w:color="auto"/>
            </w:tcBorders>
          </w:tcPr>
          <w:p w14:paraId="3BF7D2AD" w14:textId="0E9759D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EMSWe CHD will act as master database and replicate its contents to the local copies (</w:t>
            </w:r>
            <w:proofErr w:type="spellStart"/>
            <w:r w:rsidRPr="00521704">
              <w:rPr>
                <w:rFonts w:asciiTheme="minorHAnsi" w:hAnsiTheme="minorHAnsi" w:cstheme="minorHAnsi"/>
                <w:color w:val="000000"/>
              </w:rPr>
              <w:t>wjich</w:t>
            </w:r>
            <w:proofErr w:type="spellEnd"/>
            <w:r w:rsidRPr="00521704">
              <w:rPr>
                <w:rFonts w:asciiTheme="minorHAnsi" w:hAnsiTheme="minorHAnsi" w:cstheme="minorHAnsi"/>
                <w:color w:val="000000"/>
              </w:rPr>
              <w:t xml:space="preserve"> must be read-only). The update of the EMSWe CHD is a responsibility of the Commission/EMSA (see section 4.1.2)</w:t>
            </w:r>
          </w:p>
        </w:tc>
      </w:tr>
      <w:tr w:rsidR="00A57A62" w:rsidRPr="00521704" w14:paraId="0466EF23" w14:textId="77777777" w:rsidTr="009C313B">
        <w:trPr>
          <w:trHeight w:val="1250"/>
        </w:trPr>
        <w:tc>
          <w:tcPr>
            <w:tcW w:w="481" w:type="pct"/>
            <w:tcBorders>
              <w:top w:val="single" w:sz="6" w:space="0" w:color="auto"/>
              <w:left w:val="single" w:sz="6" w:space="0" w:color="auto"/>
              <w:bottom w:val="single" w:sz="6" w:space="0" w:color="auto"/>
              <w:right w:val="single" w:sz="6" w:space="0" w:color="auto"/>
            </w:tcBorders>
          </w:tcPr>
          <w:p w14:paraId="727B8A67" w14:textId="4C49434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19</w:t>
            </w:r>
          </w:p>
        </w:tc>
        <w:tc>
          <w:tcPr>
            <w:tcW w:w="494" w:type="pct"/>
            <w:tcBorders>
              <w:top w:val="single" w:sz="6" w:space="0" w:color="auto"/>
              <w:left w:val="single" w:sz="6" w:space="0" w:color="auto"/>
              <w:bottom w:val="single" w:sz="6" w:space="0" w:color="auto"/>
              <w:right w:val="single" w:sz="6" w:space="0" w:color="auto"/>
            </w:tcBorders>
          </w:tcPr>
          <w:p w14:paraId="08797680"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BE</w:t>
            </w:r>
          </w:p>
        </w:tc>
        <w:tc>
          <w:tcPr>
            <w:tcW w:w="413" w:type="pct"/>
            <w:tcBorders>
              <w:top w:val="single" w:sz="6" w:space="0" w:color="auto"/>
              <w:left w:val="single" w:sz="6" w:space="0" w:color="auto"/>
              <w:bottom w:val="single" w:sz="6" w:space="0" w:color="auto"/>
              <w:right w:val="single" w:sz="6" w:space="0" w:color="auto"/>
            </w:tcBorders>
          </w:tcPr>
          <w:p w14:paraId="36C3C153"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w:t>
            </w:r>
          </w:p>
        </w:tc>
        <w:tc>
          <w:tcPr>
            <w:tcW w:w="1844" w:type="pct"/>
            <w:tcBorders>
              <w:top w:val="single" w:sz="6" w:space="0" w:color="auto"/>
              <w:left w:val="single" w:sz="6" w:space="0" w:color="auto"/>
              <w:bottom w:val="single" w:sz="6" w:space="0" w:color="auto"/>
              <w:right w:val="single" w:sz="6" w:space="0" w:color="auto"/>
            </w:tcBorders>
          </w:tcPr>
          <w:p w14:paraId="0EDC692B"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Will there be 2 different web interfaces, one for EMSA CHD &amp; MAR-CIS and another for EMSWe CHD?</w:t>
            </w:r>
          </w:p>
        </w:tc>
        <w:tc>
          <w:tcPr>
            <w:tcW w:w="1768" w:type="pct"/>
            <w:tcBorders>
              <w:top w:val="single" w:sz="6" w:space="0" w:color="auto"/>
              <w:left w:val="single" w:sz="6" w:space="0" w:color="auto"/>
              <w:bottom w:val="single" w:sz="6" w:space="0" w:color="auto"/>
              <w:right w:val="single" w:sz="6" w:space="0" w:color="auto"/>
            </w:tcBorders>
          </w:tcPr>
          <w:p w14:paraId="38BB4C32"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This will depend on the business requirements. The objective is to reuse as much as possible the work already done for EMSA CHD. As such, we would prefer having only one web interface for EMSA/EMSWe CHD + MAR-CIS</w:t>
            </w:r>
          </w:p>
        </w:tc>
      </w:tr>
      <w:tr w:rsidR="00A57A62" w:rsidRPr="00521704" w14:paraId="1061E24F" w14:textId="77777777" w:rsidTr="009C313B">
        <w:trPr>
          <w:trHeight w:val="1152"/>
        </w:trPr>
        <w:tc>
          <w:tcPr>
            <w:tcW w:w="481" w:type="pct"/>
            <w:tcBorders>
              <w:top w:val="single" w:sz="6" w:space="0" w:color="auto"/>
              <w:left w:val="single" w:sz="6" w:space="0" w:color="auto"/>
              <w:bottom w:val="single" w:sz="6" w:space="0" w:color="auto"/>
              <w:right w:val="single" w:sz="6" w:space="0" w:color="auto"/>
            </w:tcBorders>
          </w:tcPr>
          <w:p w14:paraId="7BF0C470" w14:textId="3E0002CA"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20</w:t>
            </w:r>
          </w:p>
        </w:tc>
        <w:tc>
          <w:tcPr>
            <w:tcW w:w="494" w:type="pct"/>
            <w:tcBorders>
              <w:top w:val="single" w:sz="6" w:space="0" w:color="auto"/>
              <w:left w:val="single" w:sz="6" w:space="0" w:color="auto"/>
              <w:bottom w:val="single" w:sz="6" w:space="0" w:color="auto"/>
              <w:right w:val="single" w:sz="6" w:space="0" w:color="auto"/>
            </w:tcBorders>
          </w:tcPr>
          <w:p w14:paraId="5EACFBC4"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2D436A71"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w:t>
            </w:r>
          </w:p>
        </w:tc>
        <w:tc>
          <w:tcPr>
            <w:tcW w:w="1844" w:type="pct"/>
            <w:tcBorders>
              <w:top w:val="single" w:sz="6" w:space="0" w:color="auto"/>
              <w:left w:val="single" w:sz="6" w:space="0" w:color="auto"/>
              <w:bottom w:val="single" w:sz="6" w:space="0" w:color="auto"/>
              <w:right w:val="single" w:sz="6" w:space="0" w:color="auto"/>
            </w:tcBorders>
          </w:tcPr>
          <w:p w14:paraId="1EA7AFD4"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It is not clear what is meant here with making available the information. If the list of codes must be available for supporting manual entry via the GUI then we support that this should be a common functionality. But the description of such a functionality should be part of the GUI document.</w:t>
            </w:r>
          </w:p>
          <w:p w14:paraId="0E573B88" w14:textId="221126FE"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If it is meant that code lists should be downloadable by declarants, then this should be done centrally and once by the </w:t>
            </w:r>
            <w:r w:rsidRPr="00521704">
              <w:rPr>
                <w:rFonts w:asciiTheme="minorHAnsi" w:hAnsiTheme="minorHAnsi" w:cstheme="minorHAnsi"/>
                <w:color w:val="000000"/>
              </w:rPr>
              <w:lastRenderedPageBreak/>
              <w:t xml:space="preserve">Commission, in our opinion. Otherwise each Member State </w:t>
            </w:r>
            <w:proofErr w:type="gramStart"/>
            <w:r w:rsidRPr="00521704">
              <w:rPr>
                <w:rFonts w:asciiTheme="minorHAnsi" w:hAnsiTheme="minorHAnsi" w:cstheme="minorHAnsi"/>
                <w:color w:val="000000"/>
              </w:rPr>
              <w:t>has to</w:t>
            </w:r>
            <w:proofErr w:type="gramEnd"/>
            <w:r w:rsidRPr="00521704">
              <w:rPr>
                <w:rFonts w:asciiTheme="minorHAnsi" w:hAnsiTheme="minorHAnsi" w:cstheme="minorHAnsi"/>
                <w:color w:val="000000"/>
              </w:rPr>
              <w:t xml:space="preserve"> develop exactly the same functionality.</w:t>
            </w:r>
          </w:p>
        </w:tc>
        <w:tc>
          <w:tcPr>
            <w:tcW w:w="1768" w:type="pct"/>
            <w:tcBorders>
              <w:top w:val="single" w:sz="6" w:space="0" w:color="auto"/>
              <w:left w:val="single" w:sz="6" w:space="0" w:color="auto"/>
              <w:bottom w:val="single" w:sz="6" w:space="0" w:color="auto"/>
              <w:right w:val="single" w:sz="6" w:space="0" w:color="auto"/>
            </w:tcBorders>
          </w:tcPr>
          <w:p w14:paraId="440B4FFF" w14:textId="74926788"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lastRenderedPageBreak/>
              <w:t>According to point 2 of Article 16 of the EU Regulation 2019/1239 Commission shall ensure the availability of the common hazmat database to the maritime National Single Windows in order to facilitate ship reporting.</w:t>
            </w:r>
          </w:p>
          <w:p w14:paraId="0108B2EC" w14:textId="77777777" w:rsidR="00A57A62" w:rsidRPr="00521704" w:rsidRDefault="00A57A62" w:rsidP="009C313B">
            <w:pPr>
              <w:autoSpaceDE w:val="0"/>
              <w:autoSpaceDN w:val="0"/>
              <w:adjustRightInd w:val="0"/>
              <w:rPr>
                <w:rFonts w:asciiTheme="minorHAnsi" w:hAnsiTheme="minorHAnsi" w:cstheme="minorHAnsi"/>
                <w:color w:val="000000"/>
              </w:rPr>
            </w:pPr>
          </w:p>
          <w:p w14:paraId="43939903" w14:textId="631EB4B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This will be done (one connection per Member State) and then it is up to each Member State to decide how this information will be shared with </w:t>
            </w:r>
            <w:r w:rsidRPr="00521704">
              <w:rPr>
                <w:rFonts w:asciiTheme="minorHAnsi" w:hAnsiTheme="minorHAnsi" w:cstheme="minorHAnsi"/>
                <w:color w:val="000000"/>
              </w:rPr>
              <w:lastRenderedPageBreak/>
              <w:t>declarants, port community systems, etc. This part is not covered by this document since each Member State is free to have its own approach for making this data locally available from the MNSW.</w:t>
            </w:r>
          </w:p>
        </w:tc>
      </w:tr>
      <w:tr w:rsidR="00A57A62" w:rsidRPr="00521704" w14:paraId="3D013943" w14:textId="77777777" w:rsidTr="009C313B">
        <w:trPr>
          <w:trHeight w:val="888"/>
        </w:trPr>
        <w:tc>
          <w:tcPr>
            <w:tcW w:w="481" w:type="pct"/>
            <w:tcBorders>
              <w:top w:val="single" w:sz="6" w:space="0" w:color="auto"/>
              <w:left w:val="single" w:sz="6" w:space="0" w:color="auto"/>
              <w:bottom w:val="single" w:sz="6" w:space="0" w:color="auto"/>
              <w:right w:val="single" w:sz="6" w:space="0" w:color="auto"/>
            </w:tcBorders>
          </w:tcPr>
          <w:p w14:paraId="1633987D" w14:textId="0D39F85E"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lastRenderedPageBreak/>
              <w:t>21</w:t>
            </w:r>
          </w:p>
        </w:tc>
        <w:tc>
          <w:tcPr>
            <w:tcW w:w="494" w:type="pct"/>
            <w:tcBorders>
              <w:top w:val="single" w:sz="6" w:space="0" w:color="auto"/>
              <w:left w:val="single" w:sz="6" w:space="0" w:color="auto"/>
              <w:bottom w:val="single" w:sz="6" w:space="0" w:color="auto"/>
              <w:right w:val="single" w:sz="6" w:space="0" w:color="auto"/>
            </w:tcBorders>
          </w:tcPr>
          <w:p w14:paraId="546DB832"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10402644"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w:t>
            </w:r>
          </w:p>
        </w:tc>
        <w:tc>
          <w:tcPr>
            <w:tcW w:w="1844" w:type="pct"/>
            <w:tcBorders>
              <w:top w:val="single" w:sz="6" w:space="0" w:color="auto"/>
              <w:left w:val="single" w:sz="6" w:space="0" w:color="auto"/>
              <w:bottom w:val="single" w:sz="6" w:space="0" w:color="auto"/>
              <w:right w:val="single" w:sz="6" w:space="0" w:color="auto"/>
            </w:tcBorders>
          </w:tcPr>
          <w:p w14:paraId="0808B8DA" w14:textId="4DA0C9A6"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Detailed technical description, like technical naming of the messages should not be part of this document (see chapter 2); a functional description is </w:t>
            </w:r>
            <w:proofErr w:type="gramStart"/>
            <w:r w:rsidRPr="00521704">
              <w:rPr>
                <w:rFonts w:asciiTheme="minorHAnsi" w:hAnsiTheme="minorHAnsi" w:cstheme="minorHAnsi"/>
                <w:color w:val="000000"/>
              </w:rPr>
              <w:t>sufficient</w:t>
            </w:r>
            <w:proofErr w:type="gramEnd"/>
            <w:r w:rsidRPr="00521704">
              <w:rPr>
                <w:rFonts w:asciiTheme="minorHAnsi" w:hAnsiTheme="minorHAnsi" w:cstheme="minorHAnsi"/>
                <w:color w:val="000000"/>
              </w:rPr>
              <w:t>.</w:t>
            </w:r>
          </w:p>
        </w:tc>
        <w:tc>
          <w:tcPr>
            <w:tcW w:w="1768" w:type="pct"/>
            <w:tcBorders>
              <w:top w:val="single" w:sz="6" w:space="0" w:color="auto"/>
              <w:left w:val="single" w:sz="6" w:space="0" w:color="auto"/>
              <w:bottom w:val="single" w:sz="6" w:space="0" w:color="auto"/>
              <w:right w:val="single" w:sz="6" w:space="0" w:color="auto"/>
            </w:tcBorders>
          </w:tcPr>
          <w:p w14:paraId="51A834DF" w14:textId="138DE3F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Noted. The current text provides an overview of the technical specifications and will not be further developed to include the full specifications.</w:t>
            </w:r>
          </w:p>
        </w:tc>
      </w:tr>
      <w:tr w:rsidR="00A57A62" w:rsidRPr="00521704" w14:paraId="440CBB73" w14:textId="77777777" w:rsidTr="009C313B">
        <w:trPr>
          <w:trHeight w:val="1185"/>
        </w:trPr>
        <w:tc>
          <w:tcPr>
            <w:tcW w:w="481" w:type="pct"/>
            <w:tcBorders>
              <w:top w:val="single" w:sz="6" w:space="0" w:color="auto"/>
              <w:left w:val="single" w:sz="6" w:space="0" w:color="auto"/>
              <w:bottom w:val="single" w:sz="6" w:space="0" w:color="auto"/>
              <w:right w:val="single" w:sz="6" w:space="0" w:color="auto"/>
            </w:tcBorders>
          </w:tcPr>
          <w:p w14:paraId="72FE888B" w14:textId="231B16C4"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22</w:t>
            </w:r>
          </w:p>
        </w:tc>
        <w:tc>
          <w:tcPr>
            <w:tcW w:w="494" w:type="pct"/>
            <w:tcBorders>
              <w:top w:val="single" w:sz="6" w:space="0" w:color="auto"/>
              <w:left w:val="single" w:sz="6" w:space="0" w:color="auto"/>
              <w:bottom w:val="single" w:sz="6" w:space="0" w:color="auto"/>
              <w:right w:val="single" w:sz="6" w:space="0" w:color="auto"/>
            </w:tcBorders>
          </w:tcPr>
          <w:p w14:paraId="29C92818"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DE</w:t>
            </w:r>
          </w:p>
        </w:tc>
        <w:tc>
          <w:tcPr>
            <w:tcW w:w="413" w:type="pct"/>
            <w:tcBorders>
              <w:top w:val="single" w:sz="6" w:space="0" w:color="auto"/>
              <w:left w:val="single" w:sz="6" w:space="0" w:color="auto"/>
              <w:bottom w:val="single" w:sz="6" w:space="0" w:color="auto"/>
              <w:right w:val="single" w:sz="6" w:space="0" w:color="auto"/>
            </w:tcBorders>
          </w:tcPr>
          <w:p w14:paraId="2513F444"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w:t>
            </w:r>
          </w:p>
        </w:tc>
        <w:tc>
          <w:tcPr>
            <w:tcW w:w="1844" w:type="pct"/>
            <w:tcBorders>
              <w:top w:val="single" w:sz="6" w:space="0" w:color="auto"/>
              <w:left w:val="single" w:sz="6" w:space="0" w:color="auto"/>
              <w:bottom w:val="single" w:sz="6" w:space="0" w:color="auto"/>
              <w:right w:val="single" w:sz="6" w:space="0" w:color="auto"/>
            </w:tcBorders>
          </w:tcPr>
          <w:p w14:paraId="098E9C7D"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"Access through System to System interface" should be common functionalities of the RIM.</w:t>
            </w:r>
          </w:p>
          <w:p w14:paraId="3F161B56"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Please indicate, how it is integrated into the EMSWe system architecture.</w:t>
            </w:r>
          </w:p>
        </w:tc>
        <w:tc>
          <w:tcPr>
            <w:tcW w:w="1768" w:type="pct"/>
            <w:tcBorders>
              <w:top w:val="single" w:sz="6" w:space="0" w:color="auto"/>
              <w:left w:val="single" w:sz="6" w:space="0" w:color="auto"/>
              <w:bottom w:val="single" w:sz="6" w:space="0" w:color="auto"/>
              <w:right w:val="single" w:sz="6" w:space="0" w:color="auto"/>
            </w:tcBorders>
          </w:tcPr>
          <w:p w14:paraId="0A3B28EA" w14:textId="77777777" w:rsidR="00A57A62" w:rsidRPr="00521704" w:rsidRDefault="00A57A62" w:rsidP="009C313B">
            <w:pPr>
              <w:autoSpaceDE w:val="0"/>
              <w:autoSpaceDN w:val="0"/>
              <w:adjustRightInd w:val="0"/>
              <w:rPr>
                <w:rFonts w:asciiTheme="minorHAnsi" w:eastAsia="Times New Roman" w:hAnsiTheme="minorHAnsi" w:cstheme="minorHAnsi"/>
                <w:lang w:val="en-US" w:eastAsia="nl-BE"/>
              </w:rPr>
            </w:pPr>
            <w:r w:rsidRPr="00521704">
              <w:rPr>
                <w:rFonts w:asciiTheme="minorHAnsi" w:eastAsia="Times New Roman" w:hAnsiTheme="minorHAnsi" w:cstheme="minorHAnsi"/>
                <w:lang w:val="en-US" w:eastAsia="nl-BE"/>
              </w:rPr>
              <w:t>This is not a question for the SSN group for the EMSWe Databases. This group has been tasked to define system interfaces between the common databases and MNSWs. The idea of developing a common software module that can be used by all NMSWs should be discussed in the EMSWe group.</w:t>
            </w:r>
          </w:p>
          <w:p w14:paraId="4E23875C" w14:textId="1470CEF8"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eastAsia="Times New Roman" w:hAnsiTheme="minorHAnsi" w:cstheme="minorHAnsi"/>
                <w:lang w:val="en-US" w:eastAsia="nl-BE"/>
              </w:rPr>
              <w:t>CHD is included in the EMSWe architecture as addressed by the Commission with the Interfaces Team.</w:t>
            </w:r>
          </w:p>
        </w:tc>
      </w:tr>
      <w:tr w:rsidR="00A57A62" w:rsidRPr="00521704" w14:paraId="5849A0C7" w14:textId="77777777" w:rsidTr="009C313B">
        <w:trPr>
          <w:trHeight w:val="1185"/>
        </w:trPr>
        <w:tc>
          <w:tcPr>
            <w:tcW w:w="481" w:type="pct"/>
            <w:tcBorders>
              <w:top w:val="single" w:sz="6" w:space="0" w:color="auto"/>
              <w:left w:val="single" w:sz="6" w:space="0" w:color="auto"/>
              <w:bottom w:val="single" w:sz="6" w:space="0" w:color="auto"/>
              <w:right w:val="single" w:sz="6" w:space="0" w:color="auto"/>
            </w:tcBorders>
          </w:tcPr>
          <w:p w14:paraId="2C8665DE" w14:textId="6145274E"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23</w:t>
            </w:r>
          </w:p>
        </w:tc>
        <w:tc>
          <w:tcPr>
            <w:tcW w:w="494" w:type="pct"/>
            <w:tcBorders>
              <w:top w:val="single" w:sz="6" w:space="0" w:color="auto"/>
              <w:left w:val="single" w:sz="6" w:space="0" w:color="auto"/>
              <w:bottom w:val="single" w:sz="6" w:space="0" w:color="auto"/>
              <w:right w:val="single" w:sz="6" w:space="0" w:color="auto"/>
            </w:tcBorders>
          </w:tcPr>
          <w:p w14:paraId="3AFEC5BF" w14:textId="5EB2475F"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FR</w:t>
            </w:r>
          </w:p>
        </w:tc>
        <w:tc>
          <w:tcPr>
            <w:tcW w:w="413" w:type="pct"/>
            <w:tcBorders>
              <w:top w:val="single" w:sz="6" w:space="0" w:color="auto"/>
              <w:left w:val="single" w:sz="6" w:space="0" w:color="auto"/>
              <w:bottom w:val="single" w:sz="6" w:space="0" w:color="auto"/>
              <w:right w:val="single" w:sz="6" w:space="0" w:color="auto"/>
            </w:tcBorders>
          </w:tcPr>
          <w:p w14:paraId="5AF510E5" w14:textId="7868F5A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w:t>
            </w:r>
          </w:p>
        </w:tc>
        <w:tc>
          <w:tcPr>
            <w:tcW w:w="1844" w:type="pct"/>
            <w:tcBorders>
              <w:top w:val="single" w:sz="6" w:space="0" w:color="auto"/>
              <w:left w:val="single" w:sz="6" w:space="0" w:color="auto"/>
              <w:bottom w:val="single" w:sz="6" w:space="0" w:color="auto"/>
              <w:right w:val="single" w:sz="6" w:space="0" w:color="auto"/>
            </w:tcBorders>
          </w:tcPr>
          <w:p w14:paraId="0695F93C" w14:textId="522EC24F"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For all DB, it's indicated that there will be one connection per member state. Would this connection be unique for all DB, or unique by DB (i.e. one connection for ship DB, one for Hazmat, one for Location)?</w:t>
            </w:r>
          </w:p>
        </w:tc>
        <w:tc>
          <w:tcPr>
            <w:tcW w:w="1768" w:type="pct"/>
            <w:tcBorders>
              <w:top w:val="single" w:sz="6" w:space="0" w:color="auto"/>
              <w:left w:val="single" w:sz="6" w:space="0" w:color="auto"/>
              <w:bottom w:val="single" w:sz="6" w:space="0" w:color="auto"/>
              <w:right w:val="single" w:sz="6" w:space="0" w:color="auto"/>
            </w:tcBorders>
          </w:tcPr>
          <w:p w14:paraId="428736AF" w14:textId="3F44984E" w:rsidR="00A57A62" w:rsidRPr="00521704" w:rsidRDefault="00A57A62" w:rsidP="009C313B">
            <w:pPr>
              <w:autoSpaceDE w:val="0"/>
              <w:autoSpaceDN w:val="0"/>
              <w:adjustRightInd w:val="0"/>
              <w:rPr>
                <w:rFonts w:asciiTheme="minorHAnsi" w:eastAsia="Times New Roman" w:hAnsiTheme="minorHAnsi" w:cstheme="minorHAnsi"/>
                <w:lang w:val="en-US" w:eastAsia="nl-BE"/>
              </w:rPr>
            </w:pPr>
            <w:r w:rsidRPr="00521704">
              <w:rPr>
                <w:rFonts w:asciiTheme="minorHAnsi" w:eastAsia="Times New Roman" w:hAnsiTheme="minorHAnsi" w:cstheme="minorHAnsi"/>
                <w:lang w:val="en-US" w:eastAsia="nl-BE"/>
              </w:rPr>
              <w:t xml:space="preserve">It should be one connection per db. Each </w:t>
            </w:r>
            <w:proofErr w:type="spellStart"/>
            <w:r w:rsidRPr="00521704">
              <w:rPr>
                <w:rFonts w:asciiTheme="minorHAnsi" w:eastAsia="Times New Roman" w:hAnsiTheme="minorHAnsi" w:cstheme="minorHAnsi"/>
                <w:lang w:val="en-US" w:eastAsia="nl-BE"/>
              </w:rPr>
              <w:t>db</w:t>
            </w:r>
            <w:proofErr w:type="spellEnd"/>
            <w:r w:rsidRPr="00521704">
              <w:rPr>
                <w:rFonts w:asciiTheme="minorHAnsi" w:eastAsia="Times New Roman" w:hAnsiTheme="minorHAnsi" w:cstheme="minorHAnsi"/>
                <w:lang w:val="en-US" w:eastAsia="nl-BE"/>
              </w:rPr>
              <w:t xml:space="preserve"> being a distinct ICT system, configurations of connections will be distinct as well.</w:t>
            </w:r>
          </w:p>
        </w:tc>
      </w:tr>
      <w:tr w:rsidR="00A57A62" w:rsidRPr="00521704" w14:paraId="29B997FA" w14:textId="77777777" w:rsidTr="009C313B">
        <w:trPr>
          <w:trHeight w:val="1273"/>
        </w:trPr>
        <w:tc>
          <w:tcPr>
            <w:tcW w:w="481" w:type="pct"/>
            <w:tcBorders>
              <w:top w:val="single" w:sz="6" w:space="0" w:color="auto"/>
              <w:left w:val="single" w:sz="6" w:space="0" w:color="auto"/>
              <w:bottom w:val="single" w:sz="6" w:space="0" w:color="auto"/>
              <w:right w:val="single" w:sz="6" w:space="0" w:color="auto"/>
            </w:tcBorders>
          </w:tcPr>
          <w:p w14:paraId="377FFB40" w14:textId="21420679"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24</w:t>
            </w:r>
          </w:p>
        </w:tc>
        <w:tc>
          <w:tcPr>
            <w:tcW w:w="494" w:type="pct"/>
            <w:tcBorders>
              <w:top w:val="single" w:sz="6" w:space="0" w:color="auto"/>
              <w:left w:val="single" w:sz="6" w:space="0" w:color="auto"/>
              <w:bottom w:val="single" w:sz="6" w:space="0" w:color="auto"/>
              <w:right w:val="single" w:sz="6" w:space="0" w:color="auto"/>
            </w:tcBorders>
          </w:tcPr>
          <w:p w14:paraId="43D6A33C" w14:textId="27B24021"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FR, DK, NL</w:t>
            </w:r>
          </w:p>
        </w:tc>
        <w:tc>
          <w:tcPr>
            <w:tcW w:w="413" w:type="pct"/>
            <w:tcBorders>
              <w:top w:val="single" w:sz="6" w:space="0" w:color="auto"/>
              <w:left w:val="single" w:sz="6" w:space="0" w:color="auto"/>
              <w:bottom w:val="single" w:sz="6" w:space="0" w:color="auto"/>
              <w:right w:val="single" w:sz="6" w:space="0" w:color="auto"/>
            </w:tcBorders>
          </w:tcPr>
          <w:p w14:paraId="1C411E99"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5.3</w:t>
            </w:r>
          </w:p>
        </w:tc>
        <w:tc>
          <w:tcPr>
            <w:tcW w:w="1844" w:type="pct"/>
            <w:tcBorders>
              <w:top w:val="single" w:sz="6" w:space="0" w:color="auto"/>
              <w:left w:val="single" w:sz="6" w:space="0" w:color="auto"/>
              <w:bottom w:val="single" w:sz="6" w:space="0" w:color="auto"/>
              <w:right w:val="single" w:sz="6" w:space="0" w:color="auto"/>
            </w:tcBorders>
          </w:tcPr>
          <w:p w14:paraId="093F9958" w14:textId="377ECDD3"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If it is possible to download the DB for declarants, companies, </w:t>
            </w:r>
            <w:proofErr w:type="spellStart"/>
            <w:r w:rsidRPr="00521704">
              <w:rPr>
                <w:rFonts w:asciiTheme="minorHAnsi" w:hAnsiTheme="minorHAnsi" w:cstheme="minorHAnsi"/>
                <w:color w:val="000000"/>
              </w:rPr>
              <w:t>etc..from</w:t>
            </w:r>
            <w:proofErr w:type="spellEnd"/>
            <w:r w:rsidRPr="00521704">
              <w:rPr>
                <w:rFonts w:asciiTheme="minorHAnsi" w:hAnsiTheme="minorHAnsi" w:cstheme="minorHAnsi"/>
                <w:color w:val="000000"/>
              </w:rPr>
              <w:t xml:space="preserve"> MNSW, this may be clearly indicated in part 5.3 (now written only consultation)</w:t>
            </w:r>
          </w:p>
        </w:tc>
        <w:tc>
          <w:tcPr>
            <w:tcW w:w="1768" w:type="pct"/>
            <w:tcBorders>
              <w:top w:val="single" w:sz="6" w:space="0" w:color="auto"/>
              <w:left w:val="single" w:sz="6" w:space="0" w:color="auto"/>
              <w:bottom w:val="single" w:sz="6" w:space="0" w:color="auto"/>
              <w:right w:val="single" w:sz="6" w:space="0" w:color="auto"/>
            </w:tcBorders>
          </w:tcPr>
          <w:p w14:paraId="67EA7C90" w14:textId="5383EAAF"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Section 5.3 will be clarified to state the text refers to the EMSWe CHD responsibilities, not to MNSW's. Member States should decide how this information will be shared with declarants, port community systems, etc.</w:t>
            </w:r>
          </w:p>
        </w:tc>
      </w:tr>
      <w:tr w:rsidR="00A57A62" w:rsidRPr="00521704" w14:paraId="56B56387" w14:textId="77777777" w:rsidTr="00521704">
        <w:trPr>
          <w:trHeight w:val="1198"/>
        </w:trPr>
        <w:tc>
          <w:tcPr>
            <w:tcW w:w="481" w:type="pct"/>
            <w:tcBorders>
              <w:top w:val="single" w:sz="6" w:space="0" w:color="auto"/>
              <w:left w:val="single" w:sz="6" w:space="0" w:color="auto"/>
              <w:bottom w:val="single" w:sz="6" w:space="0" w:color="auto"/>
              <w:right w:val="single" w:sz="6" w:space="0" w:color="auto"/>
            </w:tcBorders>
          </w:tcPr>
          <w:p w14:paraId="5008085E" w14:textId="61EB003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25</w:t>
            </w:r>
          </w:p>
        </w:tc>
        <w:tc>
          <w:tcPr>
            <w:tcW w:w="494" w:type="pct"/>
            <w:tcBorders>
              <w:top w:val="single" w:sz="6" w:space="0" w:color="auto"/>
              <w:left w:val="single" w:sz="6" w:space="0" w:color="auto"/>
              <w:bottom w:val="single" w:sz="6" w:space="0" w:color="auto"/>
              <w:right w:val="single" w:sz="6" w:space="0" w:color="auto"/>
            </w:tcBorders>
          </w:tcPr>
          <w:p w14:paraId="5F35E0FA"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FR</w:t>
            </w:r>
          </w:p>
        </w:tc>
        <w:tc>
          <w:tcPr>
            <w:tcW w:w="413" w:type="pct"/>
            <w:tcBorders>
              <w:top w:val="single" w:sz="6" w:space="0" w:color="auto"/>
              <w:left w:val="single" w:sz="6" w:space="0" w:color="auto"/>
              <w:bottom w:val="single" w:sz="6" w:space="0" w:color="auto"/>
              <w:right w:val="single" w:sz="6" w:space="0" w:color="auto"/>
            </w:tcBorders>
          </w:tcPr>
          <w:p w14:paraId="3104C710"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5.3</w:t>
            </w:r>
          </w:p>
        </w:tc>
        <w:tc>
          <w:tcPr>
            <w:tcW w:w="1844" w:type="pct"/>
            <w:tcBorders>
              <w:top w:val="single" w:sz="6" w:space="0" w:color="auto"/>
              <w:left w:val="single" w:sz="6" w:space="0" w:color="auto"/>
              <w:bottom w:val="single" w:sz="6" w:space="0" w:color="auto"/>
              <w:right w:val="single" w:sz="6" w:space="0" w:color="auto"/>
            </w:tcBorders>
          </w:tcPr>
          <w:p w14:paraId="1F558E66"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Will the web interface will be able to provide the data elements in xml format, or will the ME have to develop or use a specific solution in order to integrate data in another format (csv, </w:t>
            </w:r>
            <w:proofErr w:type="spellStart"/>
            <w:r w:rsidRPr="00521704">
              <w:rPr>
                <w:rFonts w:asciiTheme="minorHAnsi" w:hAnsiTheme="minorHAnsi" w:cstheme="minorHAnsi"/>
                <w:color w:val="000000"/>
              </w:rPr>
              <w:t>xls</w:t>
            </w:r>
            <w:proofErr w:type="spellEnd"/>
            <w:r w:rsidRPr="00521704">
              <w:rPr>
                <w:rFonts w:asciiTheme="minorHAnsi" w:hAnsiTheme="minorHAnsi" w:cstheme="minorHAnsi"/>
                <w:color w:val="000000"/>
              </w:rPr>
              <w:t xml:space="preserve">, </w:t>
            </w:r>
            <w:proofErr w:type="gramStart"/>
            <w:r w:rsidRPr="00521704">
              <w:rPr>
                <w:rFonts w:asciiTheme="minorHAnsi" w:hAnsiTheme="minorHAnsi" w:cstheme="minorHAnsi"/>
                <w:color w:val="000000"/>
              </w:rPr>
              <w:t>other,</w:t>
            </w:r>
            <w:proofErr w:type="gramEnd"/>
            <w:r w:rsidRPr="00521704">
              <w:rPr>
                <w:rFonts w:asciiTheme="minorHAnsi" w:hAnsiTheme="minorHAnsi" w:cstheme="minorHAnsi"/>
                <w:color w:val="000000"/>
              </w:rPr>
              <w:t xml:space="preserve"> ...) </w:t>
            </w:r>
          </w:p>
        </w:tc>
        <w:tc>
          <w:tcPr>
            <w:tcW w:w="1768" w:type="pct"/>
            <w:tcBorders>
              <w:top w:val="single" w:sz="6" w:space="0" w:color="auto"/>
              <w:left w:val="single" w:sz="6" w:space="0" w:color="auto"/>
              <w:bottom w:val="single" w:sz="6" w:space="0" w:color="auto"/>
              <w:right w:val="single" w:sz="6" w:space="0" w:color="auto"/>
            </w:tcBorders>
          </w:tcPr>
          <w:p w14:paraId="3044B3E0" w14:textId="566C1978"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EMSA CHD allows the download in Excel format from the web interface. If other formats are needed, it can be evaluated. Still, preference should be given to S2S communications.</w:t>
            </w:r>
          </w:p>
        </w:tc>
      </w:tr>
      <w:tr w:rsidR="00A57A62" w:rsidRPr="00521704" w14:paraId="55D789E1" w14:textId="77777777" w:rsidTr="00521704">
        <w:trPr>
          <w:trHeight w:val="1585"/>
        </w:trPr>
        <w:tc>
          <w:tcPr>
            <w:tcW w:w="481" w:type="pct"/>
            <w:tcBorders>
              <w:top w:val="single" w:sz="6" w:space="0" w:color="auto"/>
              <w:left w:val="single" w:sz="6" w:space="0" w:color="auto"/>
              <w:bottom w:val="single" w:sz="6" w:space="0" w:color="auto"/>
              <w:right w:val="single" w:sz="6" w:space="0" w:color="auto"/>
            </w:tcBorders>
          </w:tcPr>
          <w:p w14:paraId="07B81301" w14:textId="4E0297C1"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26</w:t>
            </w:r>
          </w:p>
        </w:tc>
        <w:tc>
          <w:tcPr>
            <w:tcW w:w="494" w:type="pct"/>
            <w:tcBorders>
              <w:top w:val="single" w:sz="6" w:space="0" w:color="auto"/>
              <w:left w:val="single" w:sz="6" w:space="0" w:color="auto"/>
              <w:bottom w:val="single" w:sz="6" w:space="0" w:color="auto"/>
              <w:right w:val="single" w:sz="6" w:space="0" w:color="auto"/>
            </w:tcBorders>
          </w:tcPr>
          <w:p w14:paraId="3BBDC27D" w14:textId="375F5F1E"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BE, DK, FR, DE, ES</w:t>
            </w:r>
          </w:p>
        </w:tc>
        <w:tc>
          <w:tcPr>
            <w:tcW w:w="413" w:type="pct"/>
            <w:tcBorders>
              <w:top w:val="single" w:sz="6" w:space="0" w:color="auto"/>
              <w:left w:val="single" w:sz="6" w:space="0" w:color="auto"/>
              <w:bottom w:val="single" w:sz="6" w:space="0" w:color="auto"/>
              <w:right w:val="single" w:sz="6" w:space="0" w:color="auto"/>
            </w:tcBorders>
          </w:tcPr>
          <w:p w14:paraId="79DB06EE"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5.3</w:t>
            </w:r>
          </w:p>
        </w:tc>
        <w:tc>
          <w:tcPr>
            <w:tcW w:w="1844" w:type="pct"/>
            <w:tcBorders>
              <w:top w:val="single" w:sz="6" w:space="0" w:color="auto"/>
              <w:left w:val="single" w:sz="6" w:space="0" w:color="auto"/>
              <w:bottom w:val="single" w:sz="6" w:space="0" w:color="auto"/>
              <w:right w:val="single" w:sz="6" w:space="0" w:color="auto"/>
            </w:tcBorders>
          </w:tcPr>
          <w:p w14:paraId="62A5CA46" w14:textId="22F8626F"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Will shipping companies/declarants/Port Authorities be able to download the contents of the EMSWe CHD via a S2S interface or web interface (not as a pdf, but as structured information), to be used in their ICT system to be able to provide hazmat information electronically via RIM S2S interface to the MNSW?</w:t>
            </w:r>
          </w:p>
        </w:tc>
        <w:tc>
          <w:tcPr>
            <w:tcW w:w="1768" w:type="pct"/>
            <w:tcBorders>
              <w:top w:val="single" w:sz="6" w:space="0" w:color="auto"/>
              <w:left w:val="single" w:sz="6" w:space="0" w:color="auto"/>
              <w:bottom w:val="single" w:sz="6" w:space="0" w:color="auto"/>
              <w:right w:val="single" w:sz="6" w:space="0" w:color="auto"/>
            </w:tcBorders>
          </w:tcPr>
          <w:p w14:paraId="14E10CBB" w14:textId="478716CC" w:rsidR="00A57A62" w:rsidRPr="00521704" w:rsidRDefault="00A57A62" w:rsidP="009C313B">
            <w:pPr>
              <w:autoSpaceDE w:val="0"/>
              <w:autoSpaceDN w:val="0"/>
              <w:adjustRightInd w:val="0"/>
              <w:rPr>
                <w:rFonts w:asciiTheme="minorHAnsi" w:hAnsiTheme="minorHAnsi" w:cstheme="minorHAnsi"/>
                <w:color w:val="000000"/>
                <w:lang w:val="en-US"/>
              </w:rPr>
            </w:pPr>
            <w:r w:rsidRPr="00521704">
              <w:rPr>
                <w:rFonts w:asciiTheme="minorHAnsi" w:hAnsiTheme="minorHAnsi" w:cstheme="minorHAnsi"/>
                <w:color w:val="000000"/>
                <w:lang w:val="en-US"/>
              </w:rPr>
              <w:t>According to point 2 of Article 16 of the EU Regulation 2019/1239, Commission shall ensure the availability of the common hazmat database to the MNSW in order to facilitate ship reporting.</w:t>
            </w:r>
          </w:p>
          <w:p w14:paraId="2C5833A7"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This will be done (one connection per Member State) and then it is up to each Member State to decide how this information will be shared with </w:t>
            </w:r>
            <w:r w:rsidRPr="00521704">
              <w:rPr>
                <w:rFonts w:asciiTheme="minorHAnsi" w:hAnsiTheme="minorHAnsi" w:cstheme="minorHAnsi"/>
                <w:color w:val="000000"/>
              </w:rPr>
              <w:lastRenderedPageBreak/>
              <w:t xml:space="preserve">declarants, port community systems, etc. </w:t>
            </w:r>
          </w:p>
          <w:p w14:paraId="7F0AA136" w14:textId="08D34705"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This part is not covered by this document since each Member State may have its own approach for making this data available from the MNSW.</w:t>
            </w:r>
          </w:p>
        </w:tc>
      </w:tr>
      <w:tr w:rsidR="00A57A62" w:rsidRPr="00521704" w14:paraId="767B9CD9" w14:textId="77777777" w:rsidTr="009C313B">
        <w:trPr>
          <w:trHeight w:val="1365"/>
        </w:trPr>
        <w:tc>
          <w:tcPr>
            <w:tcW w:w="481" w:type="pct"/>
            <w:tcBorders>
              <w:top w:val="single" w:sz="6" w:space="0" w:color="auto"/>
              <w:left w:val="single" w:sz="6" w:space="0" w:color="auto"/>
              <w:bottom w:val="single" w:sz="6" w:space="0" w:color="auto"/>
              <w:right w:val="single" w:sz="6" w:space="0" w:color="auto"/>
            </w:tcBorders>
          </w:tcPr>
          <w:p w14:paraId="48D160EB" w14:textId="7FEE78FF"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lastRenderedPageBreak/>
              <w:t>27</w:t>
            </w:r>
          </w:p>
        </w:tc>
        <w:tc>
          <w:tcPr>
            <w:tcW w:w="494" w:type="pct"/>
            <w:tcBorders>
              <w:top w:val="single" w:sz="6" w:space="0" w:color="auto"/>
              <w:left w:val="single" w:sz="6" w:space="0" w:color="auto"/>
              <w:bottom w:val="single" w:sz="6" w:space="0" w:color="auto"/>
              <w:right w:val="single" w:sz="6" w:space="0" w:color="auto"/>
            </w:tcBorders>
          </w:tcPr>
          <w:p w14:paraId="237FEB98" w14:textId="4E470452"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DK, NL</w:t>
            </w:r>
          </w:p>
        </w:tc>
        <w:tc>
          <w:tcPr>
            <w:tcW w:w="413" w:type="pct"/>
            <w:tcBorders>
              <w:top w:val="single" w:sz="6" w:space="0" w:color="auto"/>
              <w:left w:val="single" w:sz="6" w:space="0" w:color="auto"/>
              <w:bottom w:val="single" w:sz="6" w:space="0" w:color="auto"/>
              <w:right w:val="single" w:sz="6" w:space="0" w:color="auto"/>
            </w:tcBorders>
          </w:tcPr>
          <w:p w14:paraId="7D7DDFFC"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5.3</w:t>
            </w:r>
          </w:p>
        </w:tc>
        <w:tc>
          <w:tcPr>
            <w:tcW w:w="1844" w:type="pct"/>
            <w:tcBorders>
              <w:top w:val="single" w:sz="6" w:space="0" w:color="auto"/>
              <w:left w:val="single" w:sz="6" w:space="0" w:color="auto"/>
              <w:bottom w:val="single" w:sz="6" w:space="0" w:color="auto"/>
              <w:right w:val="single" w:sz="6" w:space="0" w:color="auto"/>
            </w:tcBorders>
          </w:tcPr>
          <w:p w14:paraId="6106C879"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Industry are the ones supplying all the data, we must not forget if we are speaking of </w:t>
            </w:r>
            <w:proofErr w:type="gramStart"/>
            <w:r w:rsidRPr="00521704">
              <w:rPr>
                <w:rFonts w:asciiTheme="minorHAnsi" w:hAnsiTheme="minorHAnsi" w:cstheme="minorHAnsi"/>
                <w:color w:val="000000"/>
              </w:rPr>
              <w:t>Industry</w:t>
            </w:r>
            <w:proofErr w:type="gramEnd"/>
            <w:r w:rsidRPr="00521704">
              <w:rPr>
                <w:rFonts w:asciiTheme="minorHAnsi" w:hAnsiTheme="minorHAnsi" w:cstheme="minorHAnsi"/>
                <w:color w:val="000000"/>
              </w:rPr>
              <w:t xml:space="preserve"> we are talking about shipping lines and shipping agents. They should have the best available reference data to give the authorities the best information</w:t>
            </w:r>
          </w:p>
        </w:tc>
        <w:tc>
          <w:tcPr>
            <w:tcW w:w="1768" w:type="pct"/>
            <w:tcBorders>
              <w:top w:val="single" w:sz="6" w:space="0" w:color="auto"/>
              <w:left w:val="single" w:sz="6" w:space="0" w:color="auto"/>
              <w:bottom w:val="single" w:sz="6" w:space="0" w:color="auto"/>
              <w:right w:val="single" w:sz="6" w:space="0" w:color="auto"/>
            </w:tcBorders>
          </w:tcPr>
          <w:p w14:paraId="5C45A299" w14:textId="46C0C4F4"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Agreed, the purpose of the EMSWe CHD is to facilitate the reporting by Industry with the best possible service and with a wide access. The result will be more efficiency and better quality of the reported hazardous cargo.</w:t>
            </w:r>
          </w:p>
        </w:tc>
      </w:tr>
      <w:tr w:rsidR="00A57A62" w:rsidRPr="00521704" w14:paraId="2732851B" w14:textId="77777777" w:rsidTr="009C313B">
        <w:trPr>
          <w:trHeight w:val="1256"/>
        </w:trPr>
        <w:tc>
          <w:tcPr>
            <w:tcW w:w="481" w:type="pct"/>
            <w:tcBorders>
              <w:top w:val="single" w:sz="6" w:space="0" w:color="auto"/>
              <w:left w:val="single" w:sz="6" w:space="0" w:color="auto"/>
              <w:bottom w:val="single" w:sz="6" w:space="0" w:color="auto"/>
              <w:right w:val="single" w:sz="6" w:space="0" w:color="auto"/>
            </w:tcBorders>
          </w:tcPr>
          <w:p w14:paraId="67DFCB6A" w14:textId="21158F0B"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28</w:t>
            </w:r>
          </w:p>
        </w:tc>
        <w:tc>
          <w:tcPr>
            <w:tcW w:w="494" w:type="pct"/>
            <w:tcBorders>
              <w:top w:val="single" w:sz="6" w:space="0" w:color="auto"/>
              <w:left w:val="single" w:sz="6" w:space="0" w:color="auto"/>
              <w:bottom w:val="single" w:sz="6" w:space="0" w:color="auto"/>
              <w:right w:val="single" w:sz="6" w:space="0" w:color="auto"/>
            </w:tcBorders>
          </w:tcPr>
          <w:p w14:paraId="0F8B864A"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DE</w:t>
            </w:r>
          </w:p>
        </w:tc>
        <w:tc>
          <w:tcPr>
            <w:tcW w:w="413" w:type="pct"/>
            <w:tcBorders>
              <w:top w:val="single" w:sz="6" w:space="0" w:color="auto"/>
              <w:left w:val="single" w:sz="6" w:space="0" w:color="auto"/>
              <w:bottom w:val="single" w:sz="6" w:space="0" w:color="auto"/>
              <w:right w:val="single" w:sz="6" w:space="0" w:color="auto"/>
            </w:tcBorders>
          </w:tcPr>
          <w:p w14:paraId="76AB841F"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6.2</w:t>
            </w:r>
          </w:p>
        </w:tc>
        <w:tc>
          <w:tcPr>
            <w:tcW w:w="1844" w:type="pct"/>
            <w:tcBorders>
              <w:top w:val="single" w:sz="6" w:space="0" w:color="auto"/>
              <w:left w:val="single" w:sz="6" w:space="0" w:color="auto"/>
              <w:bottom w:val="single" w:sz="6" w:space="0" w:color="auto"/>
              <w:right w:val="single" w:sz="6" w:space="0" w:color="auto"/>
            </w:tcBorders>
          </w:tcPr>
          <w:p w14:paraId="2CF87ECB"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There can be two valid versions of IMDG at the same time.</w:t>
            </w:r>
          </w:p>
        </w:tc>
        <w:tc>
          <w:tcPr>
            <w:tcW w:w="1768" w:type="pct"/>
            <w:tcBorders>
              <w:top w:val="single" w:sz="6" w:space="0" w:color="auto"/>
              <w:left w:val="single" w:sz="6" w:space="0" w:color="auto"/>
              <w:bottom w:val="single" w:sz="6" w:space="0" w:color="auto"/>
              <w:right w:val="single" w:sz="6" w:space="0" w:color="auto"/>
            </w:tcBorders>
          </w:tcPr>
          <w:p w14:paraId="5424EA04" w14:textId="353EECE9" w:rsidR="00A57A62" w:rsidRPr="00521704" w:rsidRDefault="00A57A62" w:rsidP="009C313B">
            <w:pPr>
              <w:autoSpaceDE w:val="0"/>
              <w:autoSpaceDN w:val="0"/>
              <w:adjustRightInd w:val="0"/>
              <w:rPr>
                <w:rFonts w:asciiTheme="minorHAnsi" w:hAnsiTheme="minorHAnsi" w:cstheme="minorHAnsi"/>
                <w:color w:val="000000"/>
                <w:highlight w:val="green"/>
              </w:rPr>
            </w:pPr>
            <w:r w:rsidRPr="00521704">
              <w:rPr>
                <w:rFonts w:asciiTheme="minorHAnsi" w:hAnsiTheme="minorHAnsi" w:cstheme="minorHAnsi"/>
                <w:color w:val="000000"/>
              </w:rPr>
              <w:t xml:space="preserve">Correct, the current CHD already foresees this characteristic by displaying a visual cue in the web interface for the user to see both Code versions of the same substance. </w:t>
            </w:r>
          </w:p>
        </w:tc>
      </w:tr>
      <w:tr w:rsidR="00A57A62" w:rsidRPr="00521704" w14:paraId="25248CE7" w14:textId="77777777" w:rsidTr="009C313B">
        <w:trPr>
          <w:trHeight w:val="836"/>
        </w:trPr>
        <w:tc>
          <w:tcPr>
            <w:tcW w:w="481" w:type="pct"/>
            <w:tcBorders>
              <w:top w:val="single" w:sz="6" w:space="0" w:color="auto"/>
              <w:left w:val="single" w:sz="6" w:space="0" w:color="auto"/>
              <w:bottom w:val="single" w:sz="6" w:space="0" w:color="auto"/>
              <w:right w:val="single" w:sz="6" w:space="0" w:color="auto"/>
            </w:tcBorders>
          </w:tcPr>
          <w:p w14:paraId="582914A1" w14:textId="273C41EC"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29</w:t>
            </w:r>
          </w:p>
        </w:tc>
        <w:tc>
          <w:tcPr>
            <w:tcW w:w="494" w:type="pct"/>
            <w:tcBorders>
              <w:top w:val="single" w:sz="6" w:space="0" w:color="auto"/>
              <w:left w:val="single" w:sz="6" w:space="0" w:color="auto"/>
              <w:bottom w:val="single" w:sz="6" w:space="0" w:color="auto"/>
              <w:right w:val="single" w:sz="6" w:space="0" w:color="auto"/>
            </w:tcBorders>
          </w:tcPr>
          <w:p w14:paraId="3B094AB1" w14:textId="1CB5DDAA"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DK</w:t>
            </w:r>
          </w:p>
        </w:tc>
        <w:tc>
          <w:tcPr>
            <w:tcW w:w="413" w:type="pct"/>
            <w:tcBorders>
              <w:top w:val="single" w:sz="6" w:space="0" w:color="auto"/>
              <w:left w:val="single" w:sz="6" w:space="0" w:color="auto"/>
              <w:bottom w:val="single" w:sz="6" w:space="0" w:color="auto"/>
              <w:right w:val="single" w:sz="6" w:space="0" w:color="auto"/>
            </w:tcBorders>
          </w:tcPr>
          <w:p w14:paraId="6E8338D9"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6.2</w:t>
            </w:r>
          </w:p>
        </w:tc>
        <w:tc>
          <w:tcPr>
            <w:tcW w:w="1844" w:type="pct"/>
            <w:tcBorders>
              <w:top w:val="single" w:sz="6" w:space="0" w:color="auto"/>
              <w:left w:val="single" w:sz="6" w:space="0" w:color="auto"/>
              <w:bottom w:val="single" w:sz="6" w:space="0" w:color="auto"/>
              <w:right w:val="single" w:sz="6" w:space="0" w:color="auto"/>
            </w:tcBorders>
          </w:tcPr>
          <w:p w14:paraId="3B28C0C9" w14:textId="7C1D30F1"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New substances can be shipped as soon as the parties agree, outside IMO publishing schedule. </w:t>
            </w:r>
            <w:proofErr w:type="gramStart"/>
            <w:r w:rsidRPr="00521704">
              <w:rPr>
                <w:rFonts w:asciiTheme="minorHAnsi" w:hAnsiTheme="minorHAnsi" w:cstheme="minorHAnsi"/>
                <w:color w:val="000000"/>
              </w:rPr>
              <w:t>So</w:t>
            </w:r>
            <w:proofErr w:type="gramEnd"/>
            <w:r w:rsidRPr="00521704">
              <w:rPr>
                <w:rFonts w:asciiTheme="minorHAnsi" w:hAnsiTheme="minorHAnsi" w:cstheme="minorHAnsi"/>
                <w:color w:val="000000"/>
              </w:rPr>
              <w:t xml:space="preserve"> substances should be available earlier.</w:t>
            </w:r>
          </w:p>
        </w:tc>
        <w:tc>
          <w:tcPr>
            <w:tcW w:w="1768" w:type="pct"/>
            <w:tcBorders>
              <w:top w:val="single" w:sz="6" w:space="0" w:color="auto"/>
              <w:left w:val="single" w:sz="6" w:space="0" w:color="auto"/>
              <w:bottom w:val="single" w:sz="6" w:space="0" w:color="auto"/>
              <w:right w:val="single" w:sz="6" w:space="0" w:color="auto"/>
            </w:tcBorders>
          </w:tcPr>
          <w:p w14:paraId="2578C4D9" w14:textId="5C46EFA5"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EMSA depends on the official IMO publication of the Codes and Agreements to import the substances into the CHD.</w:t>
            </w:r>
          </w:p>
        </w:tc>
      </w:tr>
      <w:tr w:rsidR="00A57A62" w:rsidRPr="00521704" w14:paraId="41AF4F39"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063E4C1E" w14:textId="6AD27774"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30</w:t>
            </w:r>
          </w:p>
        </w:tc>
        <w:tc>
          <w:tcPr>
            <w:tcW w:w="494" w:type="pct"/>
            <w:tcBorders>
              <w:top w:val="single" w:sz="6" w:space="0" w:color="auto"/>
              <w:left w:val="single" w:sz="6" w:space="0" w:color="auto"/>
              <w:bottom w:val="single" w:sz="6" w:space="0" w:color="auto"/>
              <w:right w:val="single" w:sz="6" w:space="0" w:color="auto"/>
            </w:tcBorders>
          </w:tcPr>
          <w:p w14:paraId="1EFAD858"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184A5959"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7,8,9</w:t>
            </w:r>
          </w:p>
        </w:tc>
        <w:tc>
          <w:tcPr>
            <w:tcW w:w="1844" w:type="pct"/>
            <w:tcBorders>
              <w:top w:val="single" w:sz="6" w:space="0" w:color="auto"/>
              <w:left w:val="single" w:sz="6" w:space="0" w:color="auto"/>
              <w:bottom w:val="single" w:sz="6" w:space="0" w:color="auto"/>
              <w:right w:val="single" w:sz="6" w:space="0" w:color="auto"/>
            </w:tcBorders>
          </w:tcPr>
          <w:p w14:paraId="775279B4" w14:textId="398FA8C6"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texts of the following chapters are the same for all common databases (with only some small exceptions). These texts should be consolidated to avoid duplicate texts with the risk of deviations between the documents.</w:t>
            </w:r>
          </w:p>
        </w:tc>
        <w:tc>
          <w:tcPr>
            <w:tcW w:w="1768" w:type="pct"/>
            <w:tcBorders>
              <w:top w:val="single" w:sz="6" w:space="0" w:color="auto"/>
              <w:left w:val="single" w:sz="6" w:space="0" w:color="auto"/>
              <w:bottom w:val="single" w:sz="6" w:space="0" w:color="auto"/>
              <w:right w:val="single" w:sz="6" w:space="0" w:color="auto"/>
            </w:tcBorders>
          </w:tcPr>
          <w:p w14:paraId="3213EE72" w14:textId="5DF03599"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Noted. The document is structured to address the requirements from the Regulation, e.g.  technical specifications, standards and procedures with respect to the collecting, storing, updating and provision of the ship information. The document is therefore more focused on the implementation and management of the CHD. Its structure was presented and agreed with the Commission.</w:t>
            </w:r>
          </w:p>
        </w:tc>
      </w:tr>
      <w:tr w:rsidR="00A57A62" w:rsidRPr="00521704" w14:paraId="4A256099"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3E77F6D4" w14:textId="013A513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31</w:t>
            </w:r>
          </w:p>
        </w:tc>
        <w:tc>
          <w:tcPr>
            <w:tcW w:w="494" w:type="pct"/>
            <w:tcBorders>
              <w:top w:val="single" w:sz="6" w:space="0" w:color="auto"/>
              <w:left w:val="single" w:sz="6" w:space="0" w:color="auto"/>
              <w:bottom w:val="single" w:sz="6" w:space="0" w:color="auto"/>
              <w:right w:val="single" w:sz="6" w:space="0" w:color="auto"/>
            </w:tcBorders>
          </w:tcPr>
          <w:p w14:paraId="1B44FD15" w14:textId="1D4EA2AB"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40ADCED8" w14:textId="16C3DA05"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7.2</w:t>
            </w:r>
          </w:p>
        </w:tc>
        <w:tc>
          <w:tcPr>
            <w:tcW w:w="1844" w:type="pct"/>
            <w:tcBorders>
              <w:top w:val="single" w:sz="6" w:space="0" w:color="auto"/>
              <w:left w:val="single" w:sz="6" w:space="0" w:color="auto"/>
              <w:bottom w:val="single" w:sz="6" w:space="0" w:color="auto"/>
              <w:right w:val="single" w:sz="6" w:space="0" w:color="auto"/>
            </w:tcBorders>
          </w:tcPr>
          <w:p w14:paraId="66E5017E" w14:textId="3983D62C"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t xml:space="preserve">The MS is already a legal participant, based on the Regulation. Complying or not complying with the CT will not change this. We suggest </w:t>
            </w:r>
            <w:proofErr w:type="gramStart"/>
            <w:r w:rsidRPr="00521704">
              <w:rPr>
                <w:rFonts w:asciiTheme="minorHAnsi" w:hAnsiTheme="minorHAnsi" w:cstheme="minorHAnsi"/>
              </w:rPr>
              <w:t>to remove</w:t>
            </w:r>
            <w:proofErr w:type="gramEnd"/>
            <w:r w:rsidRPr="00521704">
              <w:rPr>
                <w:rFonts w:asciiTheme="minorHAnsi" w:hAnsiTheme="minorHAnsi" w:cstheme="minorHAnsi"/>
              </w:rPr>
              <w:t xml:space="preserve"> this sentence.</w:t>
            </w:r>
          </w:p>
        </w:tc>
        <w:tc>
          <w:tcPr>
            <w:tcW w:w="1768" w:type="pct"/>
            <w:tcBorders>
              <w:top w:val="single" w:sz="6" w:space="0" w:color="auto"/>
              <w:left w:val="single" w:sz="6" w:space="0" w:color="auto"/>
              <w:bottom w:val="single" w:sz="6" w:space="0" w:color="auto"/>
              <w:right w:val="single" w:sz="6" w:space="0" w:color="auto"/>
            </w:tcBorders>
          </w:tcPr>
          <w:p w14:paraId="7A77347C" w14:textId="11BC174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t>The document will be updated accordingly.</w:t>
            </w:r>
          </w:p>
        </w:tc>
      </w:tr>
      <w:tr w:rsidR="00A57A62" w:rsidRPr="00521704" w14:paraId="42D70F9E"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67EAC783" w14:textId="5634CE12"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32</w:t>
            </w:r>
          </w:p>
        </w:tc>
        <w:tc>
          <w:tcPr>
            <w:tcW w:w="494" w:type="pct"/>
            <w:tcBorders>
              <w:top w:val="single" w:sz="6" w:space="0" w:color="auto"/>
              <w:left w:val="single" w:sz="6" w:space="0" w:color="auto"/>
              <w:bottom w:val="single" w:sz="6" w:space="0" w:color="auto"/>
              <w:right w:val="single" w:sz="6" w:space="0" w:color="auto"/>
            </w:tcBorders>
          </w:tcPr>
          <w:p w14:paraId="34F4DC62" w14:textId="68D63B0B"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30B775BE" w14:textId="636634B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8.5</w:t>
            </w:r>
          </w:p>
        </w:tc>
        <w:tc>
          <w:tcPr>
            <w:tcW w:w="1844" w:type="pct"/>
            <w:tcBorders>
              <w:top w:val="single" w:sz="6" w:space="0" w:color="auto"/>
              <w:left w:val="single" w:sz="6" w:space="0" w:color="auto"/>
              <w:bottom w:val="single" w:sz="6" w:space="0" w:color="auto"/>
              <w:right w:val="single" w:sz="6" w:space="0" w:color="auto"/>
            </w:tcBorders>
          </w:tcPr>
          <w:p w14:paraId="092CC136" w14:textId="728FB7B9"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t>What are these ‘alternative solutions’?</w:t>
            </w:r>
          </w:p>
        </w:tc>
        <w:tc>
          <w:tcPr>
            <w:tcW w:w="1768" w:type="pct"/>
            <w:tcBorders>
              <w:top w:val="single" w:sz="6" w:space="0" w:color="auto"/>
              <w:left w:val="single" w:sz="6" w:space="0" w:color="auto"/>
              <w:bottom w:val="single" w:sz="6" w:space="0" w:color="auto"/>
              <w:right w:val="single" w:sz="6" w:space="0" w:color="auto"/>
            </w:tcBorders>
          </w:tcPr>
          <w:p w14:paraId="14FCD729" w14:textId="5C44537B"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It would be the manual download of the CHD via the Web interface.</w:t>
            </w:r>
          </w:p>
        </w:tc>
      </w:tr>
      <w:tr w:rsidR="00A57A62" w:rsidRPr="00521704" w14:paraId="6C9E5C99"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63AA48C6" w14:textId="1F2441A2"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33</w:t>
            </w:r>
          </w:p>
        </w:tc>
        <w:tc>
          <w:tcPr>
            <w:tcW w:w="494" w:type="pct"/>
            <w:tcBorders>
              <w:top w:val="single" w:sz="6" w:space="0" w:color="auto"/>
              <w:left w:val="single" w:sz="6" w:space="0" w:color="auto"/>
              <w:bottom w:val="single" w:sz="6" w:space="0" w:color="auto"/>
              <w:right w:val="single" w:sz="6" w:space="0" w:color="auto"/>
            </w:tcBorders>
          </w:tcPr>
          <w:p w14:paraId="16B6C11A" w14:textId="7DA404EF"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7C1ACEDE" w14:textId="5F45B4E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8.6</w:t>
            </w:r>
          </w:p>
        </w:tc>
        <w:tc>
          <w:tcPr>
            <w:tcW w:w="1844" w:type="pct"/>
            <w:tcBorders>
              <w:top w:val="single" w:sz="6" w:space="0" w:color="auto"/>
              <w:left w:val="single" w:sz="6" w:space="0" w:color="auto"/>
              <w:bottom w:val="single" w:sz="6" w:space="0" w:color="auto"/>
              <w:right w:val="single" w:sz="6" w:space="0" w:color="auto"/>
            </w:tcBorders>
          </w:tcPr>
          <w:p w14:paraId="2B7F2558" w14:textId="34390B43"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t>This should be done (automatically) by S2S.</w:t>
            </w:r>
          </w:p>
        </w:tc>
        <w:tc>
          <w:tcPr>
            <w:tcW w:w="1768" w:type="pct"/>
            <w:tcBorders>
              <w:top w:val="single" w:sz="6" w:space="0" w:color="auto"/>
              <w:left w:val="single" w:sz="6" w:space="0" w:color="auto"/>
              <w:bottom w:val="single" w:sz="6" w:space="0" w:color="auto"/>
              <w:right w:val="single" w:sz="6" w:space="0" w:color="auto"/>
            </w:tcBorders>
          </w:tcPr>
          <w:p w14:paraId="47C85CD6" w14:textId="2AF39CE6"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t>Correct, it is expected to be automatic. The EMSWe CHD will ensure that messages are schema-compliant and the same is expected from the MNSW.</w:t>
            </w:r>
          </w:p>
        </w:tc>
      </w:tr>
      <w:tr w:rsidR="00A57A62" w:rsidRPr="00521704" w14:paraId="038B45B0"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5AFC8599" w14:textId="2EB019CE"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34</w:t>
            </w:r>
          </w:p>
        </w:tc>
        <w:tc>
          <w:tcPr>
            <w:tcW w:w="494" w:type="pct"/>
            <w:tcBorders>
              <w:top w:val="single" w:sz="6" w:space="0" w:color="auto"/>
              <w:left w:val="single" w:sz="6" w:space="0" w:color="auto"/>
              <w:bottom w:val="single" w:sz="6" w:space="0" w:color="auto"/>
              <w:right w:val="single" w:sz="6" w:space="0" w:color="auto"/>
            </w:tcBorders>
          </w:tcPr>
          <w:p w14:paraId="249E228A" w14:textId="185E5344"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619FC772" w14:textId="69110D31"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8.7</w:t>
            </w:r>
          </w:p>
        </w:tc>
        <w:tc>
          <w:tcPr>
            <w:tcW w:w="1844" w:type="pct"/>
            <w:tcBorders>
              <w:top w:val="single" w:sz="6" w:space="0" w:color="auto"/>
              <w:left w:val="single" w:sz="6" w:space="0" w:color="auto"/>
              <w:bottom w:val="single" w:sz="6" w:space="0" w:color="auto"/>
              <w:right w:val="single" w:sz="6" w:space="0" w:color="auto"/>
            </w:tcBorders>
          </w:tcPr>
          <w:p w14:paraId="49B34CE9" w14:textId="4A2A52C4"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t>What are exactly roles, tasks and responsibilities? And what is the impact of this principle for he MSs ? This should be considered in general for the whole chain of information.</w:t>
            </w:r>
          </w:p>
        </w:tc>
        <w:tc>
          <w:tcPr>
            <w:tcW w:w="1768" w:type="pct"/>
            <w:tcBorders>
              <w:top w:val="single" w:sz="6" w:space="0" w:color="auto"/>
              <w:left w:val="single" w:sz="6" w:space="0" w:color="auto"/>
              <w:bottom w:val="single" w:sz="6" w:space="0" w:color="auto"/>
              <w:right w:val="single" w:sz="6" w:space="0" w:color="auto"/>
            </w:tcBorders>
          </w:tcPr>
          <w:p w14:paraId="7E9A6114" w14:textId="4C19554A"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t>Correct. We expect that EMSWe and MNSW will have 24/7 contact point to ensure that all components of the system work as expected.</w:t>
            </w:r>
          </w:p>
        </w:tc>
      </w:tr>
      <w:tr w:rsidR="00A57A62" w:rsidRPr="00521704" w14:paraId="4A6B6AA7"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6DD518CC" w14:textId="46D8112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lastRenderedPageBreak/>
              <w:t>35</w:t>
            </w:r>
          </w:p>
        </w:tc>
        <w:tc>
          <w:tcPr>
            <w:tcW w:w="494" w:type="pct"/>
            <w:tcBorders>
              <w:top w:val="single" w:sz="6" w:space="0" w:color="auto"/>
              <w:left w:val="single" w:sz="6" w:space="0" w:color="auto"/>
              <w:bottom w:val="single" w:sz="6" w:space="0" w:color="auto"/>
              <w:right w:val="single" w:sz="6" w:space="0" w:color="auto"/>
            </w:tcBorders>
          </w:tcPr>
          <w:p w14:paraId="232541B2" w14:textId="75AD16B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67561F9B" w14:textId="1E091B1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9</w:t>
            </w:r>
          </w:p>
        </w:tc>
        <w:tc>
          <w:tcPr>
            <w:tcW w:w="1844" w:type="pct"/>
            <w:tcBorders>
              <w:top w:val="single" w:sz="6" w:space="0" w:color="auto"/>
              <w:left w:val="single" w:sz="6" w:space="0" w:color="auto"/>
              <w:bottom w:val="single" w:sz="6" w:space="0" w:color="auto"/>
              <w:right w:val="single" w:sz="6" w:space="0" w:color="auto"/>
            </w:tcBorders>
          </w:tcPr>
          <w:p w14:paraId="530B766E"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This chapter is not very clear to us. Does this concern the CHD, local copies or MNSW in general?</w:t>
            </w:r>
          </w:p>
          <w:p w14:paraId="79CB4BA0" w14:textId="77777777" w:rsidR="00A57A62" w:rsidRPr="00521704" w:rsidRDefault="00A57A62" w:rsidP="009C313B">
            <w:pPr>
              <w:autoSpaceDE w:val="0"/>
              <w:autoSpaceDN w:val="0"/>
              <w:adjustRightInd w:val="0"/>
              <w:rPr>
                <w:rFonts w:asciiTheme="minorHAnsi" w:hAnsiTheme="minorHAnsi" w:cstheme="minorHAnsi"/>
                <w:color w:val="000000"/>
              </w:rPr>
            </w:pPr>
          </w:p>
          <w:p w14:paraId="6E076442" w14:textId="07212806"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A lot of the requirements are, in our opinion, not specific for CHD or not related to </w:t>
            </w:r>
            <w:proofErr w:type="spellStart"/>
            <w:r w:rsidRPr="00521704">
              <w:rPr>
                <w:rFonts w:asciiTheme="minorHAnsi" w:hAnsiTheme="minorHAnsi" w:cstheme="minorHAnsi"/>
                <w:color w:val="000000"/>
              </w:rPr>
              <w:t>CHDo</w:t>
            </w:r>
            <w:proofErr w:type="spellEnd"/>
            <w:r w:rsidRPr="00521704">
              <w:rPr>
                <w:rFonts w:asciiTheme="minorHAnsi" w:hAnsiTheme="minorHAnsi" w:cstheme="minorHAnsi"/>
                <w:color w:val="000000"/>
              </w:rPr>
              <w:t xml:space="preserve"> the requirement should not apply for MSs, but COM if they concern the CHD.</w:t>
            </w:r>
          </w:p>
        </w:tc>
        <w:tc>
          <w:tcPr>
            <w:tcW w:w="1768" w:type="pct"/>
            <w:tcBorders>
              <w:top w:val="single" w:sz="6" w:space="0" w:color="auto"/>
              <w:left w:val="single" w:sz="6" w:space="0" w:color="auto"/>
              <w:bottom w:val="single" w:sz="6" w:space="0" w:color="auto"/>
              <w:right w:val="single" w:sz="6" w:space="0" w:color="auto"/>
            </w:tcBorders>
          </w:tcPr>
          <w:p w14:paraId="2C9E27D9" w14:textId="5A6B9B8D"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As stated in the document “</w:t>
            </w:r>
            <w:r w:rsidRPr="00521704">
              <w:rPr>
                <w:rFonts w:asciiTheme="minorHAnsi" w:hAnsiTheme="minorHAnsi" w:cstheme="minorHAnsi"/>
                <w:i/>
                <w:color w:val="000000"/>
              </w:rPr>
              <w:t>the baseline security requirements hereunder should be mandatory for the EMSWe CHD and its interface with the MNSW systems and be referred to as optional at national/local level</w:t>
            </w:r>
            <w:r w:rsidRPr="00521704">
              <w:rPr>
                <w:rFonts w:asciiTheme="minorHAnsi" w:hAnsiTheme="minorHAnsi" w:cstheme="minorHAnsi"/>
                <w:color w:val="000000"/>
              </w:rPr>
              <w:t>.”</w:t>
            </w:r>
          </w:p>
        </w:tc>
      </w:tr>
      <w:tr w:rsidR="00A57A62" w:rsidRPr="00521704" w14:paraId="05DF4EFE"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67BA6255" w14:textId="63B35FD4"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36</w:t>
            </w:r>
          </w:p>
        </w:tc>
        <w:tc>
          <w:tcPr>
            <w:tcW w:w="494" w:type="pct"/>
            <w:tcBorders>
              <w:top w:val="single" w:sz="6" w:space="0" w:color="auto"/>
              <w:left w:val="single" w:sz="6" w:space="0" w:color="auto"/>
              <w:bottom w:val="single" w:sz="6" w:space="0" w:color="auto"/>
              <w:right w:val="single" w:sz="6" w:space="0" w:color="auto"/>
            </w:tcBorders>
          </w:tcPr>
          <w:p w14:paraId="745B3DFA" w14:textId="0C4D6178"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6B659D9F" w14:textId="55B2DB83"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9.2.5</w:t>
            </w:r>
          </w:p>
        </w:tc>
        <w:tc>
          <w:tcPr>
            <w:tcW w:w="1844" w:type="pct"/>
            <w:tcBorders>
              <w:top w:val="single" w:sz="6" w:space="0" w:color="auto"/>
              <w:left w:val="single" w:sz="6" w:space="0" w:color="auto"/>
              <w:bottom w:val="single" w:sz="6" w:space="0" w:color="auto"/>
              <w:right w:val="single" w:sz="6" w:space="0" w:color="auto"/>
            </w:tcBorders>
          </w:tcPr>
          <w:p w14:paraId="345CDC11" w14:textId="35F8AECE"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t xml:space="preserve">To our opinion these are not requirements for a database such as the CHD. Or the other way around, should the content of the CHD not </w:t>
            </w:r>
            <w:proofErr w:type="gramStart"/>
            <w:r w:rsidRPr="00521704">
              <w:rPr>
                <w:rFonts w:asciiTheme="minorHAnsi" w:hAnsiTheme="minorHAnsi" w:cstheme="minorHAnsi"/>
              </w:rPr>
              <w:t>being</w:t>
            </w:r>
            <w:proofErr w:type="gramEnd"/>
            <w:r w:rsidRPr="00521704">
              <w:rPr>
                <w:rFonts w:asciiTheme="minorHAnsi" w:hAnsiTheme="minorHAnsi" w:cstheme="minorHAnsi"/>
              </w:rPr>
              <w:t xml:space="preserve"> limited to data for which these rules are not necessary?</w:t>
            </w:r>
          </w:p>
        </w:tc>
        <w:tc>
          <w:tcPr>
            <w:tcW w:w="1768" w:type="pct"/>
            <w:tcBorders>
              <w:top w:val="single" w:sz="6" w:space="0" w:color="auto"/>
              <w:left w:val="single" w:sz="6" w:space="0" w:color="auto"/>
              <w:bottom w:val="single" w:sz="6" w:space="0" w:color="auto"/>
              <w:right w:val="single" w:sz="6" w:space="0" w:color="auto"/>
            </w:tcBorders>
          </w:tcPr>
          <w:p w14:paraId="69734307" w14:textId="43E1E300"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t>True. This are general requirements for data storage which are not applicable to CHD for now.</w:t>
            </w:r>
          </w:p>
        </w:tc>
      </w:tr>
      <w:tr w:rsidR="00A57A62" w:rsidRPr="00521704" w14:paraId="581E2969"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0E2A39F3" w14:textId="3475AAB1"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37</w:t>
            </w:r>
          </w:p>
        </w:tc>
        <w:tc>
          <w:tcPr>
            <w:tcW w:w="494" w:type="pct"/>
            <w:tcBorders>
              <w:top w:val="single" w:sz="6" w:space="0" w:color="auto"/>
              <w:left w:val="single" w:sz="6" w:space="0" w:color="auto"/>
              <w:bottom w:val="single" w:sz="6" w:space="0" w:color="auto"/>
              <w:right w:val="single" w:sz="6" w:space="0" w:color="auto"/>
            </w:tcBorders>
          </w:tcPr>
          <w:p w14:paraId="04FDCAAA" w14:textId="0FA0FD28"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175495C1" w14:textId="1B2C8C52"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9.2.6</w:t>
            </w:r>
          </w:p>
        </w:tc>
        <w:tc>
          <w:tcPr>
            <w:tcW w:w="1844" w:type="pct"/>
            <w:tcBorders>
              <w:top w:val="single" w:sz="6" w:space="0" w:color="auto"/>
              <w:left w:val="single" w:sz="6" w:space="0" w:color="auto"/>
              <w:bottom w:val="single" w:sz="6" w:space="0" w:color="auto"/>
              <w:right w:val="single" w:sz="6" w:space="0" w:color="auto"/>
            </w:tcBorders>
          </w:tcPr>
          <w:p w14:paraId="2301D738" w14:textId="35266F58"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CHD is a system. This should be an authority, in this case the Commission</w:t>
            </w:r>
          </w:p>
        </w:tc>
        <w:tc>
          <w:tcPr>
            <w:tcW w:w="1768" w:type="pct"/>
            <w:tcBorders>
              <w:top w:val="single" w:sz="6" w:space="0" w:color="auto"/>
              <w:left w:val="single" w:sz="6" w:space="0" w:color="auto"/>
              <w:bottom w:val="single" w:sz="6" w:space="0" w:color="auto"/>
              <w:right w:val="single" w:sz="6" w:space="0" w:color="auto"/>
            </w:tcBorders>
          </w:tcPr>
          <w:p w14:paraId="18AA4B79" w14:textId="054DE40A"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Noted. The document will be updated accordingly.</w:t>
            </w:r>
          </w:p>
        </w:tc>
      </w:tr>
      <w:tr w:rsidR="00A57A62" w:rsidRPr="00521704" w14:paraId="2E6C158A"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08CE1078" w14:textId="32BBB0D3"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38</w:t>
            </w:r>
          </w:p>
        </w:tc>
        <w:tc>
          <w:tcPr>
            <w:tcW w:w="494" w:type="pct"/>
            <w:tcBorders>
              <w:top w:val="single" w:sz="6" w:space="0" w:color="auto"/>
              <w:left w:val="single" w:sz="6" w:space="0" w:color="auto"/>
              <w:bottom w:val="single" w:sz="6" w:space="0" w:color="auto"/>
              <w:right w:val="single" w:sz="6" w:space="0" w:color="auto"/>
            </w:tcBorders>
          </w:tcPr>
          <w:p w14:paraId="645A8C68" w14:textId="59D61DC6"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00C95032" w14:textId="18746F2F"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1B302097" w14:textId="77777777" w:rsidR="00A57A62" w:rsidRPr="00521704" w:rsidRDefault="00A57A62" w:rsidP="009C313B">
            <w:pPr>
              <w:autoSpaceDE w:val="0"/>
              <w:autoSpaceDN w:val="0"/>
              <w:adjustRightInd w:val="0"/>
              <w:rPr>
                <w:rFonts w:asciiTheme="minorHAnsi" w:hAnsiTheme="minorHAnsi" w:cstheme="minorHAnsi"/>
              </w:rPr>
            </w:pPr>
            <w:r w:rsidRPr="00521704">
              <w:rPr>
                <w:rFonts w:asciiTheme="minorHAnsi" w:hAnsiTheme="minorHAnsi" w:cstheme="minorHAnsi"/>
              </w:rPr>
              <w:t>Local copy</w:t>
            </w:r>
          </w:p>
          <w:p w14:paraId="205F0A4A" w14:textId="77777777" w:rsidR="00A57A62" w:rsidRPr="00521704" w:rsidRDefault="00A57A62" w:rsidP="009C313B">
            <w:pPr>
              <w:autoSpaceDE w:val="0"/>
              <w:autoSpaceDN w:val="0"/>
              <w:adjustRightInd w:val="0"/>
              <w:rPr>
                <w:rFonts w:asciiTheme="minorHAnsi" w:hAnsiTheme="minorHAnsi" w:cstheme="minorHAnsi"/>
              </w:rPr>
            </w:pPr>
            <w:r w:rsidRPr="00521704">
              <w:rPr>
                <w:rFonts w:asciiTheme="minorHAnsi" w:hAnsiTheme="minorHAnsi" w:cstheme="minorHAnsi"/>
              </w:rPr>
              <w:t>We understand the benefit of the use of a local copy. This principle however doesn’t seem to be incorporated completely throughout the documents; some of the proposals or working methodologies seem to be not in line with the use of a local copy. Also, the responsibility for the databases to be available for the MNSW’s lies with the Commission (as stated in articles 14, 15 and 16) regardless the use of a local copy at national level by the Member States. The requirements for the databases should therefore not apply for the local copies.</w:t>
            </w:r>
          </w:p>
          <w:p w14:paraId="46163C8B" w14:textId="791A6CA8"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rPr>
              <w:t>We would support the use of a local copy, if the responsibility remains at central level and the technical implementation is left to the Member States; there are several (technical) ways to implement a local copy, but in our opinion the technical choices made should be left up to Member.</w:t>
            </w:r>
          </w:p>
        </w:tc>
        <w:tc>
          <w:tcPr>
            <w:tcW w:w="1768" w:type="pct"/>
            <w:tcBorders>
              <w:top w:val="single" w:sz="6" w:space="0" w:color="auto"/>
              <w:left w:val="single" w:sz="6" w:space="0" w:color="auto"/>
              <w:bottom w:val="single" w:sz="6" w:space="0" w:color="auto"/>
              <w:right w:val="single" w:sz="6" w:space="0" w:color="auto"/>
            </w:tcBorders>
          </w:tcPr>
          <w:p w14:paraId="2011F0F0" w14:textId="00044C42"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The technical options to implement a local copy (cache, database, etc.) is a choice of each Member State.</w:t>
            </w:r>
          </w:p>
          <w:p w14:paraId="6B54EE4B" w14:textId="77777777" w:rsidR="00A57A62" w:rsidRPr="00521704" w:rsidRDefault="00A57A62" w:rsidP="009C313B">
            <w:pPr>
              <w:autoSpaceDE w:val="0"/>
              <w:autoSpaceDN w:val="0"/>
              <w:adjustRightInd w:val="0"/>
              <w:rPr>
                <w:rFonts w:asciiTheme="minorHAnsi" w:hAnsiTheme="minorHAnsi" w:cstheme="minorHAnsi"/>
                <w:color w:val="000000"/>
              </w:rPr>
            </w:pPr>
          </w:p>
          <w:p w14:paraId="5E1D8B0B" w14:textId="039C4695"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EMSWe CHD will provide services to the MNSW to receive updates on dangerous and polluting goods. From the moment that the MNSW is connected it is the responsibility of the national coordinator for the EMSWe to ensure that information is available to declarants to facilitate reporting.</w:t>
            </w:r>
          </w:p>
        </w:tc>
      </w:tr>
      <w:tr w:rsidR="00A57A62" w:rsidRPr="00521704" w14:paraId="1CB75722"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6768EE1C" w14:textId="48425404"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39</w:t>
            </w:r>
          </w:p>
        </w:tc>
        <w:tc>
          <w:tcPr>
            <w:tcW w:w="494" w:type="pct"/>
            <w:tcBorders>
              <w:top w:val="single" w:sz="6" w:space="0" w:color="auto"/>
              <w:left w:val="single" w:sz="6" w:space="0" w:color="auto"/>
              <w:bottom w:val="single" w:sz="6" w:space="0" w:color="auto"/>
              <w:right w:val="single" w:sz="6" w:space="0" w:color="auto"/>
            </w:tcBorders>
          </w:tcPr>
          <w:p w14:paraId="3F8386E2" w14:textId="6B95F22A"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33DA565B" w14:textId="331E846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6B47625B"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Incorporation of databases in RIM</w:t>
            </w:r>
          </w:p>
          <w:p w14:paraId="2C9527FC" w14:textId="7777777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 xml:space="preserve">Germany proposed to incorporate the databases in the RIM. We are of the opinion that a complete overview of the scope of the architecture, including the RIM is needed, before any proposal like this can be assessed. At this moment, taking the current views on the RIM in the Interfaces team into account, we do not </w:t>
            </w:r>
            <w:proofErr w:type="spellStart"/>
            <w:r w:rsidRPr="00521704">
              <w:rPr>
                <w:rFonts w:asciiTheme="minorHAnsi" w:hAnsiTheme="minorHAnsi" w:cstheme="minorHAnsi"/>
                <w:color w:val="000000"/>
              </w:rPr>
              <w:t>favor</w:t>
            </w:r>
            <w:proofErr w:type="spellEnd"/>
            <w:r w:rsidRPr="00521704">
              <w:rPr>
                <w:rFonts w:asciiTheme="minorHAnsi" w:hAnsiTheme="minorHAnsi" w:cstheme="minorHAnsi"/>
                <w:color w:val="000000"/>
              </w:rPr>
              <w:t xml:space="preserve"> the incorporation of the databases in the RIM.</w:t>
            </w:r>
          </w:p>
          <w:p w14:paraId="5A2FBB1F" w14:textId="77777777" w:rsidR="00A57A62" w:rsidRPr="00521704" w:rsidRDefault="00A57A62" w:rsidP="009C313B">
            <w:pPr>
              <w:autoSpaceDE w:val="0"/>
              <w:autoSpaceDN w:val="0"/>
              <w:adjustRightInd w:val="0"/>
              <w:rPr>
                <w:rFonts w:asciiTheme="minorHAnsi" w:hAnsiTheme="minorHAnsi" w:cstheme="minorHAnsi"/>
                <w:color w:val="000000"/>
              </w:rPr>
            </w:pPr>
          </w:p>
        </w:tc>
        <w:tc>
          <w:tcPr>
            <w:tcW w:w="1768" w:type="pct"/>
            <w:tcBorders>
              <w:top w:val="single" w:sz="6" w:space="0" w:color="auto"/>
              <w:left w:val="single" w:sz="6" w:space="0" w:color="auto"/>
              <w:bottom w:val="single" w:sz="6" w:space="0" w:color="auto"/>
              <w:right w:val="single" w:sz="6" w:space="0" w:color="auto"/>
            </w:tcBorders>
          </w:tcPr>
          <w:p w14:paraId="742A7AD6" w14:textId="3AA4E50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lastRenderedPageBreak/>
              <w:t>This is not a question for the SSN group for the EMSWe Databases. This group has been tasked to define system interfaces between the common databases and MNSWs. The idea of developing a common software module that can be used by all NMSWs should be discussed in the EMSWe group.</w:t>
            </w:r>
          </w:p>
        </w:tc>
      </w:tr>
      <w:tr w:rsidR="00A57A62" w:rsidRPr="00521704" w14:paraId="2873A9A9" w14:textId="77777777" w:rsidTr="009C313B">
        <w:trPr>
          <w:trHeight w:val="864"/>
        </w:trPr>
        <w:tc>
          <w:tcPr>
            <w:tcW w:w="481" w:type="pct"/>
            <w:tcBorders>
              <w:top w:val="single" w:sz="6" w:space="0" w:color="auto"/>
              <w:left w:val="single" w:sz="6" w:space="0" w:color="auto"/>
              <w:bottom w:val="single" w:sz="6" w:space="0" w:color="auto"/>
              <w:right w:val="single" w:sz="6" w:space="0" w:color="auto"/>
            </w:tcBorders>
          </w:tcPr>
          <w:p w14:paraId="170D2B6C" w14:textId="506F2F89"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40</w:t>
            </w:r>
          </w:p>
        </w:tc>
        <w:tc>
          <w:tcPr>
            <w:tcW w:w="494" w:type="pct"/>
            <w:tcBorders>
              <w:top w:val="single" w:sz="6" w:space="0" w:color="auto"/>
              <w:left w:val="single" w:sz="6" w:space="0" w:color="auto"/>
              <w:bottom w:val="single" w:sz="6" w:space="0" w:color="auto"/>
              <w:right w:val="single" w:sz="6" w:space="0" w:color="auto"/>
            </w:tcBorders>
          </w:tcPr>
          <w:p w14:paraId="6F47838B" w14:textId="43524717"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NL</w:t>
            </w:r>
          </w:p>
        </w:tc>
        <w:tc>
          <w:tcPr>
            <w:tcW w:w="413" w:type="pct"/>
            <w:tcBorders>
              <w:top w:val="single" w:sz="6" w:space="0" w:color="auto"/>
              <w:left w:val="single" w:sz="6" w:space="0" w:color="auto"/>
              <w:bottom w:val="single" w:sz="6" w:space="0" w:color="auto"/>
              <w:right w:val="single" w:sz="6" w:space="0" w:color="auto"/>
            </w:tcBorders>
          </w:tcPr>
          <w:p w14:paraId="258E619F" w14:textId="620EF2DF"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4.1</w:t>
            </w:r>
          </w:p>
        </w:tc>
        <w:tc>
          <w:tcPr>
            <w:tcW w:w="1844" w:type="pct"/>
            <w:tcBorders>
              <w:top w:val="single" w:sz="6" w:space="0" w:color="auto"/>
              <w:left w:val="single" w:sz="6" w:space="0" w:color="auto"/>
              <w:bottom w:val="single" w:sz="6" w:space="0" w:color="auto"/>
              <w:right w:val="single" w:sz="6" w:space="0" w:color="auto"/>
            </w:tcBorders>
          </w:tcPr>
          <w:p w14:paraId="0DB8D108" w14:textId="77777777" w:rsidR="00A57A62" w:rsidRPr="00521704" w:rsidRDefault="00A57A62" w:rsidP="009C313B">
            <w:pPr>
              <w:autoSpaceDE w:val="0"/>
              <w:autoSpaceDN w:val="0"/>
              <w:adjustRightInd w:val="0"/>
              <w:rPr>
                <w:rFonts w:asciiTheme="minorHAnsi" w:hAnsiTheme="minorHAnsi" w:cstheme="minorHAnsi"/>
                <w:color w:val="000000"/>
                <w:lang w:val="en-US"/>
              </w:rPr>
            </w:pPr>
            <w:r w:rsidRPr="00521704">
              <w:rPr>
                <w:rFonts w:asciiTheme="minorHAnsi" w:hAnsiTheme="minorHAnsi" w:cstheme="minorHAnsi"/>
                <w:color w:val="000000"/>
                <w:lang w:val="en-US"/>
              </w:rPr>
              <w:t>Content of the databases</w:t>
            </w:r>
          </w:p>
          <w:p w14:paraId="6243E534" w14:textId="0637D748" w:rsidR="00A57A62" w:rsidRPr="00521704" w:rsidRDefault="00A57A62" w:rsidP="009C313B">
            <w:pPr>
              <w:autoSpaceDE w:val="0"/>
              <w:autoSpaceDN w:val="0"/>
              <w:adjustRightInd w:val="0"/>
              <w:rPr>
                <w:rFonts w:asciiTheme="minorHAnsi" w:hAnsiTheme="minorHAnsi" w:cstheme="minorHAnsi"/>
                <w:color w:val="000000"/>
                <w:lang w:val="en-US"/>
              </w:rPr>
            </w:pPr>
            <w:r w:rsidRPr="00521704">
              <w:rPr>
                <w:rFonts w:asciiTheme="minorHAnsi" w:hAnsiTheme="minorHAnsi" w:cstheme="minorHAnsi"/>
                <w:color w:val="000000"/>
                <w:lang w:val="en-US"/>
              </w:rPr>
              <w:t xml:space="preserve">Will the content of the databases also be discussed in the </w:t>
            </w:r>
            <w:proofErr w:type="spellStart"/>
            <w:r w:rsidRPr="00521704">
              <w:rPr>
                <w:rFonts w:asciiTheme="minorHAnsi" w:hAnsiTheme="minorHAnsi" w:cstheme="minorHAnsi"/>
                <w:color w:val="000000"/>
                <w:lang w:val="en-US"/>
              </w:rPr>
              <w:t>EMWSe</w:t>
            </w:r>
            <w:proofErr w:type="spellEnd"/>
            <w:r w:rsidRPr="00521704">
              <w:rPr>
                <w:rFonts w:asciiTheme="minorHAnsi" w:hAnsiTheme="minorHAnsi" w:cstheme="minorHAnsi"/>
                <w:color w:val="000000"/>
                <w:lang w:val="en-US"/>
              </w:rPr>
              <w:t xml:space="preserve"> Data Team? Since these databases are not only for the purpose of SSN, we think feedback from the Data Team is important.</w:t>
            </w:r>
          </w:p>
        </w:tc>
        <w:tc>
          <w:tcPr>
            <w:tcW w:w="1768" w:type="pct"/>
            <w:tcBorders>
              <w:top w:val="single" w:sz="6" w:space="0" w:color="auto"/>
              <w:left w:val="single" w:sz="6" w:space="0" w:color="auto"/>
              <w:bottom w:val="single" w:sz="6" w:space="0" w:color="auto"/>
              <w:right w:val="single" w:sz="6" w:space="0" w:color="auto"/>
            </w:tcBorders>
          </w:tcPr>
          <w:p w14:paraId="61BCF0ED" w14:textId="47E1520A" w:rsidR="00A57A62" w:rsidRPr="00521704" w:rsidRDefault="00A57A62" w:rsidP="009C313B">
            <w:pPr>
              <w:autoSpaceDE w:val="0"/>
              <w:autoSpaceDN w:val="0"/>
              <w:adjustRightInd w:val="0"/>
              <w:rPr>
                <w:rFonts w:asciiTheme="minorHAnsi" w:hAnsiTheme="minorHAnsi" w:cstheme="minorHAnsi"/>
                <w:color w:val="000000"/>
              </w:rPr>
            </w:pPr>
            <w:r w:rsidRPr="00521704">
              <w:rPr>
                <w:rFonts w:asciiTheme="minorHAnsi" w:hAnsiTheme="minorHAnsi" w:cstheme="minorHAnsi"/>
                <w:color w:val="000000"/>
              </w:rPr>
              <w:t>Yes. One the dataset for the EMSWe is defined we will ensure that all data elements related to locations are available in the EMSWe CHD.</w:t>
            </w:r>
          </w:p>
        </w:tc>
      </w:tr>
    </w:tbl>
    <w:p w14:paraId="508D42C3" w14:textId="77777777" w:rsidR="00573EFB" w:rsidRPr="00521704" w:rsidRDefault="00573EFB">
      <w:pPr>
        <w:rPr>
          <w:rFonts w:asciiTheme="minorHAnsi" w:hAnsiTheme="minorHAnsi" w:cstheme="minorHAnsi"/>
        </w:rPr>
      </w:pPr>
    </w:p>
    <w:sectPr w:rsidR="00573EFB" w:rsidRPr="00521704" w:rsidSect="00542690">
      <w:headerReference w:type="default" r:id="rId11"/>
      <w:pgSz w:w="11906" w:h="16838"/>
      <w:pgMar w:top="851" w:right="566" w:bottom="851"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26648" w14:textId="77777777" w:rsidR="00F345AC" w:rsidRDefault="00F345AC" w:rsidP="00F345AC">
      <w:r>
        <w:separator/>
      </w:r>
    </w:p>
  </w:endnote>
  <w:endnote w:type="continuationSeparator" w:id="0">
    <w:p w14:paraId="7E4EC44E" w14:textId="77777777" w:rsidR="00F345AC" w:rsidRDefault="00F345AC" w:rsidP="00F3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4E13E" w14:textId="77777777" w:rsidR="00F345AC" w:rsidRDefault="00F345AC" w:rsidP="00F345AC">
      <w:r>
        <w:separator/>
      </w:r>
    </w:p>
  </w:footnote>
  <w:footnote w:type="continuationSeparator" w:id="0">
    <w:p w14:paraId="32B61825" w14:textId="77777777" w:rsidR="00F345AC" w:rsidRDefault="00F345AC" w:rsidP="00F34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FCC4A" w14:textId="36B4543C" w:rsidR="00F345AC" w:rsidRDefault="00F345AC" w:rsidP="00F345AC">
    <w:r>
      <w:t xml:space="preserve">Responses to comments received on the </w:t>
    </w:r>
    <w:r w:rsidRPr="00F82D10">
      <w:t xml:space="preserve">Technical specifications, standards and procedures </w:t>
    </w:r>
    <w:r>
      <w:t>document for the EMSWe Common Hazmat Database – version 0.</w:t>
    </w:r>
    <w:r w:rsidR="00D15B7D">
      <w:t>3</w:t>
    </w:r>
  </w:p>
  <w:p w14:paraId="753D506A" w14:textId="77777777" w:rsidR="00F345AC" w:rsidRDefault="00F345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CF7"/>
    <w:rsid w:val="000343C4"/>
    <w:rsid w:val="000A2573"/>
    <w:rsid w:val="000B1323"/>
    <w:rsid w:val="00133E05"/>
    <w:rsid w:val="00143509"/>
    <w:rsid w:val="00163D09"/>
    <w:rsid w:val="001C03A2"/>
    <w:rsid w:val="001D554D"/>
    <w:rsid w:val="002822AD"/>
    <w:rsid w:val="00383D9F"/>
    <w:rsid w:val="003C2355"/>
    <w:rsid w:val="0042590E"/>
    <w:rsid w:val="00467CF7"/>
    <w:rsid w:val="004753CF"/>
    <w:rsid w:val="00481611"/>
    <w:rsid w:val="004901A3"/>
    <w:rsid w:val="00510D3D"/>
    <w:rsid w:val="00516B59"/>
    <w:rsid w:val="00521704"/>
    <w:rsid w:val="00542690"/>
    <w:rsid w:val="00546E7C"/>
    <w:rsid w:val="00547DE5"/>
    <w:rsid w:val="005519C8"/>
    <w:rsid w:val="00573EFB"/>
    <w:rsid w:val="0063713D"/>
    <w:rsid w:val="006501A0"/>
    <w:rsid w:val="00660F7B"/>
    <w:rsid w:val="006B20A2"/>
    <w:rsid w:val="006E1B68"/>
    <w:rsid w:val="006E53D0"/>
    <w:rsid w:val="00725E6B"/>
    <w:rsid w:val="00743D40"/>
    <w:rsid w:val="007C7BFB"/>
    <w:rsid w:val="007F2998"/>
    <w:rsid w:val="007F7F13"/>
    <w:rsid w:val="00881236"/>
    <w:rsid w:val="0089625E"/>
    <w:rsid w:val="008C2230"/>
    <w:rsid w:val="008C529C"/>
    <w:rsid w:val="009156B0"/>
    <w:rsid w:val="00924E57"/>
    <w:rsid w:val="009C313B"/>
    <w:rsid w:val="009E03E1"/>
    <w:rsid w:val="00A16694"/>
    <w:rsid w:val="00A548DC"/>
    <w:rsid w:val="00A56249"/>
    <w:rsid w:val="00A57A62"/>
    <w:rsid w:val="00A9672E"/>
    <w:rsid w:val="00B303C4"/>
    <w:rsid w:val="00B51706"/>
    <w:rsid w:val="00B65D9D"/>
    <w:rsid w:val="00BA2917"/>
    <w:rsid w:val="00BD2A12"/>
    <w:rsid w:val="00BD4B32"/>
    <w:rsid w:val="00C46D14"/>
    <w:rsid w:val="00CB28B9"/>
    <w:rsid w:val="00CD21AF"/>
    <w:rsid w:val="00D15B7D"/>
    <w:rsid w:val="00D7603D"/>
    <w:rsid w:val="00D84D54"/>
    <w:rsid w:val="00DD1658"/>
    <w:rsid w:val="00E16059"/>
    <w:rsid w:val="00E33849"/>
    <w:rsid w:val="00E7044E"/>
    <w:rsid w:val="00E737A5"/>
    <w:rsid w:val="00ED63FF"/>
    <w:rsid w:val="00EE2256"/>
    <w:rsid w:val="00EE767D"/>
    <w:rsid w:val="00F2036D"/>
    <w:rsid w:val="00F345AC"/>
    <w:rsid w:val="00F55016"/>
    <w:rsid w:val="00FA6781"/>
    <w:rsid w:val="00FD1521"/>
    <w:rsid w:val="00FD4E2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D9E52"/>
  <w15:chartTrackingRefBased/>
  <w15:docId w15:val="{E52C7227-501C-4BE5-8892-E3AA3796B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519C8"/>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37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37A5"/>
    <w:rPr>
      <w:rFonts w:ascii="Segoe UI" w:hAnsi="Segoe UI" w:cs="Segoe UI"/>
      <w:sz w:val="18"/>
      <w:szCs w:val="18"/>
    </w:rPr>
  </w:style>
  <w:style w:type="character" w:styleId="CommentReference">
    <w:name w:val="annotation reference"/>
    <w:basedOn w:val="DefaultParagraphFont"/>
    <w:uiPriority w:val="99"/>
    <w:semiHidden/>
    <w:unhideWhenUsed/>
    <w:rsid w:val="00ED63FF"/>
    <w:rPr>
      <w:sz w:val="16"/>
      <w:szCs w:val="16"/>
    </w:rPr>
  </w:style>
  <w:style w:type="paragraph" w:styleId="CommentText">
    <w:name w:val="annotation text"/>
    <w:basedOn w:val="Normal"/>
    <w:link w:val="CommentTextChar"/>
    <w:uiPriority w:val="99"/>
    <w:unhideWhenUsed/>
    <w:rsid w:val="00ED63FF"/>
    <w:rPr>
      <w:sz w:val="20"/>
      <w:szCs w:val="20"/>
    </w:rPr>
  </w:style>
  <w:style w:type="character" w:customStyle="1" w:styleId="CommentTextChar">
    <w:name w:val="Comment Text Char"/>
    <w:basedOn w:val="DefaultParagraphFont"/>
    <w:link w:val="CommentText"/>
    <w:uiPriority w:val="99"/>
    <w:rsid w:val="00ED63FF"/>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ED63FF"/>
    <w:rPr>
      <w:b/>
      <w:bCs/>
    </w:rPr>
  </w:style>
  <w:style w:type="character" w:customStyle="1" w:styleId="CommentSubjectChar">
    <w:name w:val="Comment Subject Char"/>
    <w:basedOn w:val="CommentTextChar"/>
    <w:link w:val="CommentSubject"/>
    <w:uiPriority w:val="99"/>
    <w:semiHidden/>
    <w:rsid w:val="00ED63FF"/>
    <w:rPr>
      <w:rFonts w:ascii="Calibri" w:hAnsi="Calibri" w:cs="Calibri"/>
      <w:b/>
      <w:bCs/>
      <w:sz w:val="20"/>
      <w:szCs w:val="20"/>
    </w:rPr>
  </w:style>
  <w:style w:type="paragraph" w:styleId="Header">
    <w:name w:val="header"/>
    <w:basedOn w:val="Normal"/>
    <w:link w:val="HeaderChar"/>
    <w:uiPriority w:val="99"/>
    <w:unhideWhenUsed/>
    <w:rsid w:val="00F345AC"/>
    <w:pPr>
      <w:tabs>
        <w:tab w:val="center" w:pos="4513"/>
        <w:tab w:val="right" w:pos="9026"/>
      </w:tabs>
    </w:pPr>
  </w:style>
  <w:style w:type="character" w:customStyle="1" w:styleId="HeaderChar">
    <w:name w:val="Header Char"/>
    <w:basedOn w:val="DefaultParagraphFont"/>
    <w:link w:val="Header"/>
    <w:uiPriority w:val="99"/>
    <w:rsid w:val="00F345AC"/>
    <w:rPr>
      <w:rFonts w:ascii="Calibri" w:hAnsi="Calibri" w:cs="Calibri"/>
    </w:rPr>
  </w:style>
  <w:style w:type="paragraph" w:styleId="Footer">
    <w:name w:val="footer"/>
    <w:basedOn w:val="Normal"/>
    <w:link w:val="FooterChar"/>
    <w:uiPriority w:val="99"/>
    <w:unhideWhenUsed/>
    <w:rsid w:val="00F345AC"/>
    <w:pPr>
      <w:tabs>
        <w:tab w:val="center" w:pos="4513"/>
        <w:tab w:val="right" w:pos="9026"/>
      </w:tabs>
    </w:pPr>
  </w:style>
  <w:style w:type="character" w:customStyle="1" w:styleId="FooterChar">
    <w:name w:val="Footer Char"/>
    <w:basedOn w:val="DefaultParagraphFont"/>
    <w:link w:val="Footer"/>
    <w:uiPriority w:val="99"/>
    <w:rsid w:val="00F345AC"/>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60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False</openByDefault>
  <xsnScope/>
</customXsn>
</file>

<file path=customXml/item4.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eacf2b66f619a6c503bd47b1f2975c3b">
  <xsd:schema xmlns:xsd="http://www.w3.org/2001/XMLSchema" xmlns:xs="http://www.w3.org/2001/XMLSchema" xmlns:p="http://schemas.microsoft.com/office/2006/metadata/properties" targetNamespace="http://schemas.microsoft.com/office/2006/metadata/properties" ma:root="true" ma:fieldsID="a7b7f69b33808ee8a7fbfcd0bd29f1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510C5-5F20-4DAF-A000-3E1F72E3A788}">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2D42A7C3-0706-4E24-AEFE-C831F8F23151}">
  <ds:schemaRefs>
    <ds:schemaRef ds:uri="http://schemas.microsoft.com/sharepoint/v3/contenttype/forms"/>
  </ds:schemaRefs>
</ds:datastoreItem>
</file>

<file path=customXml/itemProps3.xml><?xml version="1.0" encoding="utf-8"?>
<ds:datastoreItem xmlns:ds="http://schemas.openxmlformats.org/officeDocument/2006/customXml" ds:itemID="{F141A4C9-CE6B-4FEF-84F3-09B6BDF329BB}">
  <ds:schemaRefs>
    <ds:schemaRef ds:uri="http://schemas.microsoft.com/office/2006/metadata/customXsn"/>
  </ds:schemaRefs>
</ds:datastoreItem>
</file>

<file path=customXml/itemProps4.xml><?xml version="1.0" encoding="utf-8"?>
<ds:datastoreItem xmlns:ds="http://schemas.openxmlformats.org/officeDocument/2006/customXml" ds:itemID="{F0ADA51B-F9D8-4A14-855E-19C6AEE1D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7A6E8B2-D30F-4F95-9ABF-439E07A72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3050</Words>
  <Characters>17388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NUNES Antonio (EMSA)</dc:creator>
  <cp:keywords/>
  <dc:description/>
  <cp:lastModifiedBy>FERNANDES Rute (EMSA)</cp:lastModifiedBy>
  <cp:revision>2</cp:revision>
  <dcterms:created xsi:type="dcterms:W3CDTF">2020-06-11T09:14:00Z</dcterms:created>
  <dcterms:modified xsi:type="dcterms:W3CDTF">2020-06-11T09:14:00Z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